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A1" w:rsidRDefault="00D740A1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30 ноября 2021 г. N 66134</w:t>
      </w:r>
    </w:p>
    <w:p w:rsidR="00D740A1" w:rsidRDefault="00D740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Title"/>
        <w:jc w:val="center"/>
      </w:pPr>
      <w:r>
        <w:t>МИНИСТЕРСТВО ТРАНСПОРТА РОССИЙСКОЙ ФЕДЕРАЦИИ</w:t>
      </w:r>
    </w:p>
    <w:p w:rsidR="00D740A1" w:rsidRDefault="00D740A1">
      <w:pPr>
        <w:pStyle w:val="ConsPlusTitle"/>
        <w:jc w:val="center"/>
      </w:pPr>
    </w:p>
    <w:p w:rsidR="00D740A1" w:rsidRDefault="00D740A1">
      <w:pPr>
        <w:pStyle w:val="ConsPlusTitle"/>
        <w:jc w:val="center"/>
      </w:pPr>
      <w:r>
        <w:t>ПРИКАЗ</w:t>
      </w:r>
    </w:p>
    <w:p w:rsidR="00D740A1" w:rsidRDefault="00D740A1">
      <w:pPr>
        <w:pStyle w:val="ConsPlusTitle"/>
        <w:jc w:val="center"/>
      </w:pPr>
      <w:r>
        <w:t>от 1 ноября 2021 г. N 370</w:t>
      </w:r>
    </w:p>
    <w:p w:rsidR="00D740A1" w:rsidRDefault="00D740A1">
      <w:pPr>
        <w:pStyle w:val="ConsPlusTitle"/>
        <w:jc w:val="center"/>
      </w:pPr>
    </w:p>
    <w:p w:rsidR="00D740A1" w:rsidRDefault="00D740A1">
      <w:pPr>
        <w:pStyle w:val="ConsPlusTitle"/>
        <w:jc w:val="center"/>
      </w:pPr>
      <w:r>
        <w:t>О ПОРЯДКЕ</w:t>
      </w:r>
    </w:p>
    <w:p w:rsidR="00D740A1" w:rsidRDefault="00D740A1">
      <w:pPr>
        <w:pStyle w:val="ConsPlusTitle"/>
        <w:jc w:val="center"/>
      </w:pPr>
      <w:r>
        <w:t>ПРОВЕДЕНИЯ ОЦЕНКИ УЯЗВИМОСТИ ОБЪЕКТОВ ТРАНСПОРТНОЙ</w:t>
      </w:r>
    </w:p>
    <w:p w:rsidR="00D740A1" w:rsidRDefault="00D740A1">
      <w:pPr>
        <w:pStyle w:val="ConsPlusTitle"/>
        <w:jc w:val="center"/>
      </w:pPr>
      <w:r>
        <w:t>ИНФРАСТРУКТУРЫ, СУДОВ ЛЕДОКОЛЬНОГО ФЛОТА, ИСПОЛЬЗУЕМЫХ</w:t>
      </w:r>
    </w:p>
    <w:p w:rsidR="00D740A1" w:rsidRDefault="00D740A1">
      <w:pPr>
        <w:pStyle w:val="ConsPlusTitle"/>
        <w:jc w:val="center"/>
      </w:pPr>
      <w:r>
        <w:t>ДЛЯ ПРОВОДКИ ПО МОРСКИМ ПУТЯМ, СУДОВ, В ОТНОШЕНИИ КОТОРЫХ</w:t>
      </w:r>
    </w:p>
    <w:p w:rsidR="00D740A1" w:rsidRDefault="00D740A1">
      <w:pPr>
        <w:pStyle w:val="ConsPlusTitle"/>
        <w:jc w:val="center"/>
      </w:pPr>
      <w:r>
        <w:t>ПРИМЕНЯЮТСЯ ПРАВИЛА ТОРГОВОГО МОРЕПЛАВАНИЯ И ТРЕБОВАНИЯ</w:t>
      </w:r>
    </w:p>
    <w:p w:rsidR="00D740A1" w:rsidRDefault="00D740A1">
      <w:pPr>
        <w:pStyle w:val="ConsPlusTitle"/>
        <w:jc w:val="center"/>
      </w:pPr>
      <w:r>
        <w:t>В ОБЛАСТИ ОХРАНЫ СУДОВ И ПОРТОВЫХ СРЕДСТВ, УСТАНОВЛЕННЫЕ</w:t>
      </w:r>
    </w:p>
    <w:p w:rsidR="00D740A1" w:rsidRDefault="00D740A1">
      <w:pPr>
        <w:pStyle w:val="ConsPlusTitle"/>
        <w:jc w:val="center"/>
      </w:pPr>
      <w:r>
        <w:t>МЕЖДУНАРОДНЫМИ ДОГОВОРАМИ РОССИЙСКОЙ ФЕДЕРАЦИИ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1 статьи 5</w:t>
        </w:r>
      </w:hyperlink>
      <w:r>
        <w:t xml:space="preserve"> Федерального закона от 9 февраля 2007 г. N 16-ФЗ "О транспортной безопасности" (Собрание законодательства Российской Федерации, 2007, N 7, ст. 837; 2019, N 31, ст. 4429) и </w:t>
      </w:r>
      <w:hyperlink r:id="rId5">
        <w:r>
          <w:rPr>
            <w:color w:val="0000FF"/>
          </w:rPr>
          <w:t>пунктом 1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2019, N 1, ст. 10), приказываю: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проведения оценки уязвимости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740A1" w:rsidRDefault="00D740A1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12 апреля 2010 г. N 87 "О порядке проведения оценки уязвимости объектов транспортной инфраструктуры и транспортных средств" (зарегистрирован Министерством юстиции Российской Федерации 21 мая 2010 г., регистрационный N 17321);</w:t>
      </w:r>
    </w:p>
    <w:p w:rsidR="00D740A1" w:rsidRDefault="00D740A1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26 июля 2011 г. N 199 "О внесении изменения в приказ Министерства транспорта Российской Федерации от 12 апреля 2010 г. N 87" (зарегистрирован Министерством юстиции Российской Федерации 23 августа 2011 г., регистрационный N 21682);</w:t>
      </w:r>
    </w:p>
    <w:p w:rsidR="00D740A1" w:rsidRDefault="00D740A1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18 августа 2016 г. N 245 "О внесении изменений в Порядок проведения оценки уязвимости объектов транспортной инфраструктуры и транспортных средств, утвержденный приказом Министерства транспорта Российской Федерации от 12 апреля 2010 г. N 87" (зарегистрирован Министерством юстиции Российской Федерации 26 октября 2016 г., регистрационный N 44157);</w:t>
      </w:r>
    </w:p>
    <w:p w:rsidR="00D740A1" w:rsidRDefault="00D740A1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18 апреля 2018 г. N 155 "О внесении изменений в Порядок проведения оценки уязвимости объектов транспортной инфраструктуры и транспортных средств, утвержденный приказом Министерства транспорта Российской Федерации от 12 апреля 2010 г. N 87" (зарегистрирован Министерством юстиции Российской Федерации 18 июля 2018 г., регистрационный N 51631);</w:t>
      </w:r>
    </w:p>
    <w:p w:rsidR="00D740A1" w:rsidRDefault="00D740A1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пункт 2</w:t>
        </w:r>
      </w:hyperlink>
      <w:r>
        <w:t xml:space="preserve"> изменений, вносимых в Порядок разработки планов обеспечения транспортной безопасности объектов транспортной инфраструктуры и транспортных средств, утвержденный </w:t>
      </w:r>
      <w:r>
        <w:lastRenderedPageBreak/>
        <w:t>приказом Министерства транспорта Российской Федерации от 11 февраля 2010 г. N 34, и в Порядок проведения оценки уязвимости объектов транспортной инфраструктуры и транспортных средств, утвержденный приказом Министерства транспорта Российской Федерации от 12 апреля 2010 г. N 87, утвержденных приказом Министерства транспорта Российской Федерации от 26 февраля 2019 г. N 58 (зарегистрирован Министерством юстиции Российской Федерации 28 марта 2019 г., регистрационный N 54201).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2022 г. и действует до 1 марта 2028 г.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jc w:val="right"/>
      </w:pPr>
      <w:r>
        <w:t>Министр</w:t>
      </w:r>
    </w:p>
    <w:p w:rsidR="00D740A1" w:rsidRDefault="00D740A1">
      <w:pPr>
        <w:pStyle w:val="ConsPlusNormal"/>
        <w:jc w:val="right"/>
      </w:pPr>
      <w:r>
        <w:t>В.Г.САВЕЛЬЕВ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jc w:val="right"/>
        <w:outlineLvl w:val="0"/>
      </w:pPr>
      <w:r>
        <w:t>Утвержден</w:t>
      </w:r>
    </w:p>
    <w:p w:rsidR="00D740A1" w:rsidRDefault="00D740A1">
      <w:pPr>
        <w:pStyle w:val="ConsPlusNormal"/>
        <w:jc w:val="right"/>
      </w:pPr>
      <w:r>
        <w:t>приказом Минтранса России</w:t>
      </w:r>
    </w:p>
    <w:p w:rsidR="00D740A1" w:rsidRDefault="00D740A1">
      <w:pPr>
        <w:pStyle w:val="ConsPlusNormal"/>
        <w:jc w:val="right"/>
      </w:pPr>
      <w:r>
        <w:t>от 1 ноября 2021 г. N 370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Title"/>
        <w:jc w:val="center"/>
      </w:pPr>
      <w:bookmarkStart w:id="1" w:name="P38"/>
      <w:bookmarkEnd w:id="1"/>
      <w:r>
        <w:t>ПОРЯДОК</w:t>
      </w:r>
    </w:p>
    <w:p w:rsidR="00D740A1" w:rsidRDefault="00D740A1">
      <w:pPr>
        <w:pStyle w:val="ConsPlusTitle"/>
        <w:jc w:val="center"/>
      </w:pPr>
      <w:r>
        <w:t>ПРОВЕДЕНИЯ ОЦЕНКИ УЯЗВИМОСТИ ОБЪЕКТОВ ТРАНСПОРТНОЙ</w:t>
      </w:r>
    </w:p>
    <w:p w:rsidR="00D740A1" w:rsidRDefault="00D740A1">
      <w:pPr>
        <w:pStyle w:val="ConsPlusTitle"/>
        <w:jc w:val="center"/>
      </w:pPr>
      <w:r>
        <w:t>ИНФРАСТРУКТУРЫ, СУДОВ ЛЕДОКОЛЬНОГО ФЛОТА, ИСПОЛЬЗУЕМЫХ</w:t>
      </w:r>
    </w:p>
    <w:p w:rsidR="00D740A1" w:rsidRDefault="00D740A1">
      <w:pPr>
        <w:pStyle w:val="ConsPlusTitle"/>
        <w:jc w:val="center"/>
      </w:pPr>
      <w:r>
        <w:t>ДЛЯ ПРОВОДКИ ПО МОРСКИМ ПУТЯМ, СУДОВ, В ОТНОШЕНИИ КОТОРЫХ</w:t>
      </w:r>
    </w:p>
    <w:p w:rsidR="00D740A1" w:rsidRDefault="00D740A1">
      <w:pPr>
        <w:pStyle w:val="ConsPlusTitle"/>
        <w:jc w:val="center"/>
      </w:pPr>
      <w:r>
        <w:t>ПРИМЕНЯЮТСЯ ПРАВИЛА ТОРГОВОГО МОРЕПЛАВАНИЯ И ТРЕБОВАНИЯ</w:t>
      </w:r>
    </w:p>
    <w:p w:rsidR="00D740A1" w:rsidRDefault="00D740A1">
      <w:pPr>
        <w:pStyle w:val="ConsPlusTitle"/>
        <w:jc w:val="center"/>
      </w:pPr>
      <w:r>
        <w:t>В ОБЛАСТИ ОХРАНЫ СУДОВ И ПОРТОВЫХ СРЕДСТВ, УСТАНОВЛЕННЫЕ</w:t>
      </w:r>
    </w:p>
    <w:p w:rsidR="00D740A1" w:rsidRDefault="00D740A1">
      <w:pPr>
        <w:pStyle w:val="ConsPlusTitle"/>
        <w:jc w:val="center"/>
      </w:pPr>
      <w:r>
        <w:t>МЕЖДУНАРОДНЫМИ ДОГОВОРАМИ РОССИЙСКОЙ ФЕДЕРАЦИИ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t>1. Оценка уязвимости объекта транспортной инфраструктуры и (или) судна, подлежащего оценке уязвимости (далее - оценка уязвимости, суда, подлежащие оценке уязвимости соответственно), проводится в целях определения степени защищенности объекта транспортной инфраструктуры и судна, подлежащего оценке уязвимости, от потенциальных угроз совершения актов незаконного вмешательства в их деятельность.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2. Оценка уязвимости акватории морского порта проводится в целях определения степени защищенности от потенциальных угроз совершения актов незаконного вмешательства в отношении судов, находящихся в акватории морского порта, возможности незаконного нахождения или перемещения судов, принятия мер капитаном морского порта по обнаружению судов, их идентификации, установления с ними радиосвязи, прекращения их незаконного нахождения, перемещения в акватории морского порта.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3. Оценка уязвимости морского терминала, акватории морского порта включает в себя оценку охраны морского терминала, акватории морского порта и проводится с учетом требований, установленных </w:t>
      </w:r>
      <w:hyperlink r:id="rId11">
        <w:r>
          <w:rPr>
            <w:color w:val="0000FF"/>
          </w:rPr>
          <w:t>главой XI-2</w:t>
        </w:r>
      </w:hyperlink>
      <w:r>
        <w:t xml:space="preserve"> Международной конвенции по охране человеческой жизни на море 1974 г. &lt;1&gt;, Международным </w:t>
      </w:r>
      <w:hyperlink r:id="rId12">
        <w:r>
          <w:rPr>
            <w:color w:val="0000FF"/>
          </w:rPr>
          <w:t>кодексом</w:t>
        </w:r>
      </w:hyperlink>
      <w:r>
        <w:t xml:space="preserve"> по охране судов и портовых средств &lt;2&gt; и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9 февраля 2007 г. N 16-ФЗ "О транспортной безопасности" &lt;3&gt;, а также принимаемыми в соответствии с ними иными нормативными правовыми актами Российской Федерации.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&lt;1&gt; Бюллетень международных договоров. 2011 (приложение N 1, часть 1). С. 3 - 211. Вступила в силу для СССР 25 мая 1980 г.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&lt;2&gt; Одобрен Конференцией Договаривающихся правительств Международной </w:t>
      </w:r>
      <w:hyperlink r:id="rId14">
        <w:r>
          <w:rPr>
            <w:color w:val="0000FF"/>
          </w:rPr>
          <w:t>конвенции</w:t>
        </w:r>
      </w:hyperlink>
      <w:r>
        <w:t xml:space="preserve"> по охране человеческой жизни на море 1974 г. (</w:t>
      </w:r>
      <w:hyperlink r:id="rId15">
        <w:r>
          <w:rPr>
            <w:color w:val="0000FF"/>
          </w:rPr>
          <w:t>Резолюция N 2</w:t>
        </w:r>
      </w:hyperlink>
      <w:r>
        <w:t xml:space="preserve"> принята 12 декабря 2002 г.) и является </w:t>
      </w:r>
      <w:r>
        <w:lastRenderedPageBreak/>
        <w:t xml:space="preserve">обязательным для Российской Федерации в соответствии с Международной </w:t>
      </w:r>
      <w:hyperlink r:id="rId16">
        <w:r>
          <w:rPr>
            <w:color w:val="0000FF"/>
          </w:rPr>
          <w:t>конвенцией</w:t>
        </w:r>
      </w:hyperlink>
      <w:r>
        <w:t xml:space="preserve"> по охране человеческой жизни на море 1974 г. Бюллетень международных договоров. 2011 (приложение N 1, часть 5). С. 454 - 535. Вступила в силу для Российской Федерации 1 июля 2004 г.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2007, N 7, ст. 837; 2021, N 24, ст. 4188.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t xml:space="preserve">4. Оценка уязвимости судна, в отношении которого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является оценкой охраны судна, осуществляющего международные рейсы &lt;4&gt;, и проводится с учетом требований, установленных </w:t>
      </w:r>
      <w:hyperlink r:id="rId17">
        <w:r>
          <w:rPr>
            <w:color w:val="0000FF"/>
          </w:rPr>
          <w:t>главой XI-2</w:t>
        </w:r>
      </w:hyperlink>
      <w:r>
        <w:t xml:space="preserve"> Международной конвенции по охране человеческой жизни на море 1974 г., Международным </w:t>
      </w:r>
      <w:hyperlink r:id="rId18">
        <w:r>
          <w:rPr>
            <w:color w:val="0000FF"/>
          </w:rPr>
          <w:t>кодексом</w:t>
        </w:r>
      </w:hyperlink>
      <w:r>
        <w:t xml:space="preserve"> по охране судов и портовых средств и </w:t>
      </w:r>
      <w:hyperlink r:id="rId19">
        <w:r>
          <w:rPr>
            <w:color w:val="0000FF"/>
          </w:rPr>
          <w:t>частью 5 статьи 5</w:t>
        </w:r>
      </w:hyperlink>
      <w:r>
        <w:t xml:space="preserve"> Федерального закона от 9 февраля 2007 г. N 16-ФЗ "О транспортной безопасности", а также принимаемыми в соответствии с ними иными нормативными правовыми актами Российской Федерации.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Часть 5 статьи 5</w:t>
        </w:r>
      </w:hyperlink>
      <w:r>
        <w:t xml:space="preserve"> Федерального закона от 9 февраля 2007 г. N 16-ФЗ "О транспортной безопасности" (Собрание законодательства Российской Федерации, 2007, N 7, ст. 837; 2019, N 31, ст. 4429).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bookmarkStart w:id="2" w:name="P58"/>
      <w:bookmarkEnd w:id="2"/>
      <w:r>
        <w:t>5. В ходе проведения оценки уязвимости осуществляются: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5.1. В отношении объектов транспортной инфраструктуры и судов, подлежащих оценке уязвимости, за исключением акватории морского порта: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5.1.1. Изучение технических и технологических характеристик объекта транспортной инфраструктуры и (или) судна, подлежащего оценке уязвимости (включая геологические, гидрологические и географические особенности дислокации объекта транспортной инфраструктуры), а также организации их эксплуатации (функционирования).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Результатом изучения организациями, указанными в </w:t>
      </w:r>
      <w:hyperlink r:id="rId21">
        <w:r>
          <w:rPr>
            <w:color w:val="0000FF"/>
          </w:rPr>
          <w:t>части 2 статьи 5</w:t>
        </w:r>
      </w:hyperlink>
      <w:r>
        <w:t xml:space="preserve"> Федерального закона от 9 февраля 2007 г. N 16-ФЗ "О транспортной безопасности" &lt;5&gt; (далее - специализированные организации), объекта транспортной инфраструктуры является описание его основных технических и технологических характеристик с детализацией соответствующей представленной в технической и эксплуатационной документации (включая геологические, гидрологические и географические особенности дислокации объекта транспортной инфраструктуры), а также организации его эксплуатации (функционирования), границ зоны транспортной безопасности с учетом </w:t>
      </w:r>
      <w:hyperlink r:id="rId22">
        <w:r>
          <w:rPr>
            <w:color w:val="0000FF"/>
          </w:rPr>
          <w:t>пункта 1.1 статьи 1</w:t>
        </w:r>
      </w:hyperlink>
      <w:r>
        <w:t xml:space="preserve"> Федерального закона от 9 февраля 2007 г. N 16-ФЗ "О транспортной безопасности &lt;6&gt;, критических элементов (при наличии) объекта транспортной инфраструктуры.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&lt;5&gt; Собрание законодательства Российской Федерации, 2007, N 7, ст. 837; 2019, N 31, ст. 4429.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2007, N 7, ст. 837; 2019, N 31, ст. 4429.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t xml:space="preserve">Результатом изучения судна, подлежащего оценке уязвимости, является описание его технических и технологических характеристик, организации его эксплуатации (функционирования), границ зоны транспортной безопасности, с учетом </w:t>
      </w:r>
      <w:hyperlink r:id="rId23">
        <w:r>
          <w:rPr>
            <w:color w:val="0000FF"/>
          </w:rPr>
          <w:t>пункта 1.1 статьи 1</w:t>
        </w:r>
      </w:hyperlink>
      <w:r>
        <w:t xml:space="preserve"> Федерального закона от 9 февраля 2007 г. N 16-ФЗ "О транспортной безопасности" &lt;7&gt;, критических элементов судна.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2007, N 7, ст. 837; 2019, N 31, ст. 4429.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lastRenderedPageBreak/>
        <w:t>5.1.2. Изучение системы принятых на объекте транспортной инфраструктуры и (или) судне, подлежащем оценке уязвимости, мер по защите от актов незаконного вмешательства.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Результатом изучения является описание системы мер по защите от актов незаконного вмешательства, принятых субъектом транспортной инфраструктуры на объекте транспортной инфраструктуры и (или) судне, подлежащем оценке уязвимости, а также оценка соответствия требованиям по обеспечению транспортной безопасности, предусмотренных </w:t>
      </w:r>
      <w:hyperlink r:id="rId24">
        <w:r>
          <w:rPr>
            <w:color w:val="0000FF"/>
          </w:rPr>
          <w:t>статьей 8</w:t>
        </w:r>
      </w:hyperlink>
      <w:r>
        <w:t xml:space="preserve"> Федерального закона от 9 февраля 2007 г. N 16-ФЗ "О транспортной безопасности" &lt;8&gt;.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2007, N 7, ст. 837; 2019, N 31, ст. 4429.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t>5.1.3. Изучение способов реализации потенциальных угроз совершения актов незаконного вмешательства в деятельность объекта транспортной инфраструктуры и судна, подлежащего оценке уязвимости, с использованием совокупности сведений о численности, оснащенности, подготовленности, осведомленности, а также действий потенциальных нарушителей, преследуемых целей при совершении акта незаконного вмешательства в деятельность объекта транспортной инфраструктуры и судна, подлежащего оценке уязвимости (далее - модель нарушителя).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Результатом изучения является описание способов реализации потенциальных угроз совершения актов незаконного вмешательства в деятельность объекта транспортной инфраструктуры и (или) судна, подлежащего оценке уязвимости, применительно к модели нарушителя.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5.1.4. Определение рекомендаций субъекту транспортной инфраструктуры в отношении мер, которые необходимо дополнительно включить в систему мер по обеспечению транспортной безопасности объекта транспортной инфраструктуры и (или) судна, подлежащего оценке уязвимости.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Результатом определения рекомендаций является описание дополнительных мер, которые необходимо принять субъекту транспортной инфраструктуры на объекте транспортной инфраструктуры и (или) судне, подлежащем оценке уязвимости, в соответствии с требованиями по обеспечению транспортной безопасности.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5.2. В отношении акватории морского порта:</w:t>
      </w:r>
    </w:p>
    <w:p w:rsidR="00D740A1" w:rsidRDefault="00D740A1">
      <w:pPr>
        <w:pStyle w:val="ConsPlusNormal"/>
        <w:spacing w:before="220"/>
        <w:ind w:firstLine="540"/>
        <w:jc w:val="both"/>
      </w:pPr>
      <w:bookmarkStart w:id="3" w:name="P80"/>
      <w:bookmarkEnd w:id="3"/>
      <w:r>
        <w:t xml:space="preserve">5.2.1. Описание границ акватории морского порта (включая места якорных стоянок) в соответствии с установленными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декабря 2018 г. N 1775 "Об утверждении Правил установления или изменения границ территории морского порта, а также расширения территории морского порта" &lt;9&gt; границами акватории морского порта, в том числе географическими особенностями расположения акватории морского порта.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&lt;9&gt; Собрание законодательства Российской Федерации 2019, N 1, ст. 66; 2021, N 7, ст. 1131.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t>5.2.2. Описание подходов к морскому порту в соответствии с обязательными постановлениями в морском порту.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5.2.3. Описание районов акватории морского порта, запрещенных или ограниченных для судоходства в соответствии с обязательными постановлениями в морском порту, другими нормативными правовыми актами и публикациями, содержащимися в "Извещениях мореплавателям" &lt;10&gt;.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6">
        <w:r>
          <w:rPr>
            <w:color w:val="0000FF"/>
          </w:rPr>
          <w:t>Статьи 7</w:t>
        </w:r>
      </w:hyperlink>
      <w:r>
        <w:t xml:space="preserve">, </w:t>
      </w:r>
      <w:hyperlink r:id="rId27">
        <w:r>
          <w:rPr>
            <w:color w:val="0000FF"/>
          </w:rPr>
          <w:t>32</w:t>
        </w:r>
      </w:hyperlink>
      <w:r>
        <w:t xml:space="preserve"> Федерального закона от 8 ноября 2007 г. N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5557; 2017, N 30, 4457; 2018, N 53, ст. 8451).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t>5.2.4. Установление возможности обнаружения и идентификации судов на поверхности воды акватории морского порта с помощью инженерно-технических средств, установленных в морском порту.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5.2.5. Описание технических возможностей и зон действия инженерно-технических средств (Глобальная морская система связи при бедствии и для обеспечения безопасности &lt;11&gt;, автоматическая идентификационная система &lt;12&gt;, средства визуального наблюдения, система управления движением судов &lt;13&gt;, ультракороткая волновая радиосвязь), с помощью которых возможны обнаружение и идентификация судов, а также установление радиосвязи с ними.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8">
        <w:r>
          <w:rPr>
            <w:color w:val="0000FF"/>
          </w:rPr>
          <w:t>Часть 1 статьи 15</w:t>
        </w:r>
      </w:hyperlink>
      <w:r>
        <w:t xml:space="preserve"> Федерального закона от 8 ноября 2007 г. N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5557; 2013, N 30, ст. 4058).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9">
        <w:r>
          <w:rPr>
            <w:color w:val="0000FF"/>
          </w:rPr>
          <w:t>Приложение N 2</w:t>
        </w:r>
      </w:hyperlink>
      <w:r>
        <w:t xml:space="preserve"> к Порядку оснащения судов техническими средствами контроля, их видов, требований к их использованию, утвержденному приказом Минсельхоза России от 15 ноября 2018 г. N 525 (зарегистрирован Минюстом России 11 декабря 2018 г., регистрационный N 52959), с изменениями, внесенными приказом Минсельхоза России от 6 октября 2020 г. N 593 (зарегистрирован Минюстом России 9 ноября 2020 г., регистрационный N 60792).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30">
        <w:r>
          <w:rPr>
            <w:color w:val="0000FF"/>
          </w:rPr>
          <w:t>Статья 4</w:t>
        </w:r>
      </w:hyperlink>
      <w:r>
        <w:t xml:space="preserve"> Федерального закона от 8 ноября 2007 г. N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5557; 2017, N 30, ст. 4457).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t>5.2.6. Определение интенсивности судоходства в акватории морского порта.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5.2.7. Описание погрузочно-разгрузочных операций, осуществляющихся в акватории морского порта в соответствии с </w:t>
      </w:r>
      <w:hyperlink r:id="rId31">
        <w:r>
          <w:rPr>
            <w:color w:val="0000FF"/>
          </w:rPr>
          <w:t>Правилами</w:t>
        </w:r>
      </w:hyperlink>
      <w:r>
        <w:t xml:space="preserve"> оказания услуг по организации перегрузки грузов с судна на судно &lt;14&gt;.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32">
        <w:r>
          <w:rPr>
            <w:color w:val="0000FF"/>
          </w:rPr>
          <w:t>Приказ</w:t>
        </w:r>
      </w:hyperlink>
      <w:r>
        <w:t xml:space="preserve"> Минтранса России от 29 апреля 2009 г. N 68 "Об утверждении Правил оказания услуг по организации перегрузки грузов с судна на судно" (зарегистрирован Министерством юстиции Российской Федерации 29 июня 2009 г., регистрационный N 14146) с изменениями, внесенными приказом Минтранса России от 10 мая 2016 г. N 122 (зарегистрирован Минюстом России 7 июня 2016 г., регистрационный N 42438).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t xml:space="preserve">5.2.8. Описание системы мер, принятых субъектом транспортной инфраструктуры на акватории морского порта по защите от актов незаконного вмешательства, а также оценка ее соответствия требованиям по обеспечению транспортной безопасности, утвержденным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9 февраля 2007 г. N 16-ФЗ "О транспортной безопасности", и определение границ зоны транспортной безопасности, ее частей, которые определяются специализированными организациями в области обеспечения транспортной безопасности по </w:t>
      </w:r>
      <w:r>
        <w:lastRenderedPageBreak/>
        <w:t>согласованию с капитаном морского порта.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5.2.9. Описание способов реализации потенциальных угроз совершения актов незаконного вмешательства в акватории морского порта.</w:t>
      </w:r>
    </w:p>
    <w:p w:rsidR="00D740A1" w:rsidRDefault="00D740A1">
      <w:pPr>
        <w:pStyle w:val="ConsPlusNormal"/>
        <w:spacing w:before="220"/>
        <w:ind w:firstLine="540"/>
        <w:jc w:val="both"/>
      </w:pPr>
      <w:bookmarkStart w:id="4" w:name="P103"/>
      <w:bookmarkEnd w:id="4"/>
      <w:r>
        <w:t>5.2.10. Определение рекомендаций в отношении мер, которые необходимо дополнительно включить в систему мер по обеспечению транспортной безопасности акватории морского порта.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5.2.11. Результатом оценки уязвимости акватории морского порта являются материалы проведенной работы, предусмотренной </w:t>
      </w:r>
      <w:hyperlink w:anchor="P80">
        <w:r>
          <w:rPr>
            <w:color w:val="0000FF"/>
          </w:rPr>
          <w:t>подпунктами 5.2.1</w:t>
        </w:r>
      </w:hyperlink>
      <w:r>
        <w:t xml:space="preserve"> - </w:t>
      </w:r>
      <w:hyperlink w:anchor="P103">
        <w:r>
          <w:rPr>
            <w:color w:val="0000FF"/>
          </w:rPr>
          <w:t>5.2.10 пункта 5</w:t>
        </w:r>
      </w:hyperlink>
      <w:r>
        <w:t xml:space="preserve"> Порядка, и рекомендации: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о необходимости дополнения технических или организационных мер в отношении акватории морского порта или ее отдельных частей;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и (или) о достаточности технических и организационных мер обеспечения транспортной безопасности для акватории морского порта или ее отдельных частей;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и (или) об отсутствии необходимости принятия дополнительных мер обеспечения транспортной безопасности в отношении акватории морского порта или ее отдельных частей.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6. Оценка уязвимости объектов транспортной инфраструктуры проводится специализированными организациями, а судов, подлежащих оценке уязвимости - специализированными организациями либо субъектами транспортной инфраструктуры.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Оценка уязвимости объектов транспортной инфраструктуры и (или) судов, подлежащих оценке уязвимости, проводится в соответствии с </w:t>
      </w:r>
      <w:hyperlink r:id="rId34">
        <w:r>
          <w:rPr>
            <w:color w:val="0000FF"/>
          </w:rPr>
          <w:t>Перечнем</w:t>
        </w:r>
      </w:hyperlink>
      <w:r>
        <w:t xml:space="preserve"> потенциальных угроз совершения актов незаконного вмешательства в деятельность объектов транспортной инфраструктуры и транспортных средств, утвержденным приказом Минтранса России, ФСБ России, МВД России от 5 марта 2010 г. N 52/112/134 "Об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средств" &lt;15&gt;, а также с применением модели нарушителя.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&lt;15&gt; Зарегистрирован Минюстом России 2 апреля 2010 г., регистрационный N 16782.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t>7. Срок проведения оценки уязвимости не должен превышать 30 календарных дней со дня поступления документов в компетентный орган в области обеспечения транспортной безопасности.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8. Результаты проведенной оценки уязвимости объекта транспортной инфраструктуры оформляются в виде документа с графическими планами-схемами в двух экземплярах (первый экземпляр на бумажном носителе, второй, подписанный усиленной квалифицированной электронной подписью &lt;16&gt;, - на электронном носителе) и в течение 7 календарных дней со дня окончания проведения оценки направляются в компетентный орган в области обеспечения транспортной безопасности &lt;17&gt; (далее - компетентный орган) для рассмотрения и принятия решения об утверждении.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35">
        <w:r>
          <w:rPr>
            <w:color w:val="0000FF"/>
          </w:rPr>
          <w:t>Подпункт "а" пункта 4</w:t>
        </w:r>
      </w:hyperlink>
      <w:r>
        <w:t xml:space="preserve"> критериев определения видов электронной подписи, использование которых допускается при обращении за получением государственных и муниципальных услуг, которые являются приложением к Правилам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 постановлением Правительства Российской Федерации от 25 июня 2012 г. N 634 (Собрание законодательства Российской </w:t>
      </w:r>
      <w:r>
        <w:lastRenderedPageBreak/>
        <w:t>Федерации, 2012, N 27, ст. 3744).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36">
        <w:r>
          <w:rPr>
            <w:color w:val="0000FF"/>
          </w:rPr>
          <w:t>Пункт 3 статьи 1</w:t>
        </w:r>
      </w:hyperlink>
      <w:r>
        <w:t xml:space="preserve">, </w:t>
      </w:r>
      <w:hyperlink r:id="rId37">
        <w:r>
          <w:rPr>
            <w:color w:val="0000FF"/>
          </w:rPr>
          <w:t>часть 2 статьи 9</w:t>
        </w:r>
      </w:hyperlink>
      <w:r>
        <w:t xml:space="preserve"> Федерального закона от 9 февраля 2007 г. N 16-ФЗ "О транспортной безопасности" (Собрание законодательства Российской Федерации, 2007, N 7, ст. 837; 2019, N 31, ст. 4429).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t>Результаты проведенной оценки уязвимости судна, подлежащего оценке уязвимости, оформляются в виде документа с графическими планами-схемами, в течение 7 календарных дней со дня окончания проведения оценки уязвимости утверждаются субъектом транспортной инфраструктуры и в двух экземплярах (первый экземпляр на бумажном носителе, второй, подписанный усиленной квалифицированной электронной подписью - на электронном носителе) направляются в компетентный орган в течение 7 календарных дней со дня утверждения.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При наличии технической возможности у субъекта транспортной инфраструктуры (специализированной организации) и компетентного органа допускается оформление результатов проведенной оценки уязвимости объекта транспортной инфраструктуры и (или) судна, подлежащего оценке уязвимости, в одном экземпляре в форме электронного документа и с обязательным направлением в компетентный орган с использованием единой государственной информационной системы обеспечения транспортной безопасности &lt;18&gt; (далее - ЕГИС ОТБ).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8">
        <w:r>
          <w:rPr>
            <w:color w:val="0000FF"/>
          </w:rPr>
          <w:t>Статья 11</w:t>
        </w:r>
      </w:hyperlink>
      <w:r>
        <w:t xml:space="preserve"> Федерального закона от 9 февраля 2007 г. N 16-ФЗ "О транспортной безопасности" (Собрание законодательства Российской Федерации, 2007, N 7, ст. 837; 2015, N 27, ст. 3959).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ind w:firstLine="540"/>
        <w:jc w:val="both"/>
      </w:pPr>
      <w:r>
        <w:t>Результаты проведенной оценки уязвимости объекта транспортной инфраструктуры направляются специализированной организацией в компетентный орган на утверждение с подписью субъекта транспортной инфраструктуры об ознакомлении. При направлении с использованием ЕГИС ОТБ специализированной организацией в компетентный орган результаты проведенной оценки уязвимости объекта транспортной инфраструктуры подписываются усиленной квалифицированной электронной подписью специализированной организации, отметкой об ознакомлении является наличие усиленной квалифицированной электронной подписи субъекта транспортной инфраструктуры.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Результаты проведенной оценки уязвимости судна, подлежащего оценке уязвимости, направляются в компетентный орган субъектом транспортной инфраструктуры. При направлении результатов проведенной оценки уязвимости судна, подлежащего оценке уязвимости, с использованием ЕГИС ОТБ, утверждением результатов оценки уязвимости является наличие усиленной квалифицированной электронной подписи субъекта транспортной инфраструктуры.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9. При оценке уязвимости группы идентичных по своим конструктивным, техническим, технологическим характеристикам судов, подлежащих оценке уязвимости, находящихся в собственности одного юридического (физического) лица или использующихся им на ином законном основании, по согласованию с соответствующим компетентным органом результаты оценки уязвимости одного судна, подлежащего оценке уязвимости, распространяются на всю группу.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Перечень судов, подлежащих оценке уязвимости, входящих в указанную группу, является приложением к результатам проведенной оценки уязвимости и направляется в компетентный орган совместно с утвержденными результатами оценки уязвимости.</w:t>
      </w:r>
    </w:p>
    <w:p w:rsidR="00D740A1" w:rsidRDefault="00D740A1">
      <w:pPr>
        <w:pStyle w:val="ConsPlusNormal"/>
        <w:spacing w:before="220"/>
        <w:ind w:firstLine="540"/>
        <w:jc w:val="both"/>
      </w:pPr>
      <w:bookmarkStart w:id="5" w:name="P128"/>
      <w:bookmarkEnd w:id="5"/>
      <w:r>
        <w:t xml:space="preserve">10. Решение об утверждении результатов проведенной оценки уязвимости объекта транспортной инфраструктуры либо об отказе в их утверждении принимается компетентным органом в срок, не превышающий 30 календарных дней, со дня представления (регистрации) </w:t>
      </w:r>
      <w:r>
        <w:lastRenderedPageBreak/>
        <w:t>результатов проведенной оценки уязвимости в компетентном органе.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10.1. Решение оформляется в виде заключения, утверждается руководителем компетентного органа (либо уполномоченным им лицом).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При поступлении результатов оценки уязвимости объекта транспортной инфраструктуры в форме электронного документа с использованием ЕГИС ОТБ решение оформляется в форме электронного документа, подписанного усиленной квалифицированной электронной подписью руководителя компетентного органа (либо уполномоченного им лица).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10.2. Первый экземпляр результатов проведенной оценки уязвимости объекта транспортной инфраструктуры, утвержденный руководителем компетентного органа (либо уполномоченным им лицом) и заверенный гербовой печатью, направляется (вручается) специализированной организации, второй экземпляр остается в компетентном органе.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Первый экземпляр результатов утвержденной оценки уязвимости судна, подлежащего оценке уязвимости, направляется (вручается) субъекту транспортной инфраструктуры с отметкой о получении в течение 10 календарных дней со дня его поступления в компетентный орган в области обеспечения транспортной безопасности, второй экземпляр остается в компетентном органе.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При поступлении в компетентный орган результатов проведенной оценки уязвимости объекта транспортной инфраструктуры в форме электронного документа с использованием ЕГИС ОТБ, результат проведенной оценки уязвимости объекта транспортной инфраструктуры, утвержденный усиленной квалифицированной электронной подписью руководителя компетентного органа (либо уполномоченного им лица), направляется специализированной организации с использованием ЕГИС ОТБ.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При поступлении в компетентный орган утвержденных результатов проведенной оценки уязвимости судна, подлежащего оценке уязвимости, с использованием ЕГИС ОТБ, результаты проведенной оценки уязвимости судна, подлежащего оценке уязвимости, с отметкой о получении, подписанной усиленной квалифицированной электронной подписью руководителя компетентного органа (либо уполномоченного им лица), направляются субъекту транспортной инфраструктуры с использованием ЕГИС ОТБ в течение 10 календарных дней со дня его поступления в компетентный орган.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10.3. Решение об отказе в утверждении результатов проведенной оценки уязвимости объекта транспортной инфраструктуры направляется (вручается) специализированной организации в письменной форме с указанием причин отказа и детализацией имеющихся замечаний вместе с первым экземпляром.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>При поступлении в компетентный орган результатов проведенной оценки уязвимости объекта транспортной инфраструктуры в форме электронного документа с использованием ЕГИС ОТБ решение об отказе в утверждении результатов проведенной оценки уязвимости объекта транспортной инфраструктуры направляется специализированной организации с использованием ЕГИС ОТБ.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11. В случаях, определенных соответствующими требованиями по обеспечению транспортной безопасности, утверждаемыми Правительством Российской Федерации в соответствии с </w:t>
      </w:r>
      <w:hyperlink r:id="rId39">
        <w:r>
          <w:rPr>
            <w:color w:val="0000FF"/>
          </w:rPr>
          <w:t>частью 1 статьи 8</w:t>
        </w:r>
      </w:hyperlink>
      <w:r>
        <w:t xml:space="preserve"> Федерального закона от 9 февраля 2007 г. N 16-ФЗ "О транспортной безопасности", в установленные данными требованиями сроки проводится дополнительная оценка уязвимости.</w:t>
      </w:r>
    </w:p>
    <w:p w:rsidR="00D740A1" w:rsidRDefault="00D740A1">
      <w:pPr>
        <w:pStyle w:val="ConsPlusNormal"/>
        <w:spacing w:before="220"/>
        <w:ind w:firstLine="540"/>
        <w:jc w:val="both"/>
      </w:pPr>
      <w:bookmarkStart w:id="6" w:name="P138"/>
      <w:bookmarkEnd w:id="6"/>
      <w:r>
        <w:t xml:space="preserve">При изменении конструктивных, технических и технологических характеристик объекта транспортной инфраструктуры и (или) судна, подлежащих оценке уязвимости, влияющих на реализуемую систему мер защиты от актов незаконного вмешательства и (или) при изменении потенциальных угроз совершения актов незаконного вмешательства в деятельность объектов </w:t>
      </w:r>
      <w:r>
        <w:lastRenderedPageBreak/>
        <w:t>транспортной инфраструктуры и судов, подлежащих оценке уязвимости, в 3-х месячный срок проводится дополнительная оценка уязвимости в части, касающейся произошедших изменений.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Дополнительная оценка уязвимости проводится в соответствии с </w:t>
      </w:r>
      <w:hyperlink w:anchor="P58">
        <w:r>
          <w:rPr>
            <w:color w:val="0000FF"/>
          </w:rPr>
          <w:t>пунктами 5</w:t>
        </w:r>
      </w:hyperlink>
      <w:r>
        <w:t xml:space="preserve"> - </w:t>
      </w:r>
      <w:hyperlink w:anchor="P128">
        <w:r>
          <w:rPr>
            <w:color w:val="0000FF"/>
          </w:rPr>
          <w:t>10</w:t>
        </w:r>
      </w:hyperlink>
      <w:r>
        <w:t xml:space="preserve"> настоящего Порядка и в объеме, соответствующем и применимом к произошедшим изменениям.</w:t>
      </w:r>
    </w:p>
    <w:p w:rsidR="00D740A1" w:rsidRDefault="00D740A1">
      <w:pPr>
        <w:pStyle w:val="ConsPlusNormal"/>
        <w:spacing w:before="220"/>
        <w:ind w:firstLine="540"/>
        <w:jc w:val="both"/>
      </w:pPr>
      <w:r>
        <w:t xml:space="preserve">Для акватории морского порта дополнительная оценка уязвимости проводится в срок, указанный в </w:t>
      </w:r>
      <w:hyperlink w:anchor="P138">
        <w:r>
          <w:rPr>
            <w:color w:val="0000FF"/>
          </w:rPr>
          <w:t>абзаце втором</w:t>
        </w:r>
      </w:hyperlink>
      <w:r>
        <w:t xml:space="preserve"> настоящего пункта, при изменении конструктивных, технических и технологических характеристик, влияющих на реализуемую систему мер защиты от актов незаконного вмешательства, и (или) при изменении потенциальных угроз совершения актов незаконного вмешательства, а также границ акватории морского порта в части, касающейся произошедших изменений.</w:t>
      </w: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jc w:val="both"/>
      </w:pPr>
    </w:p>
    <w:p w:rsidR="00D740A1" w:rsidRDefault="00D740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098C" w:rsidRDefault="0015098C"/>
    <w:sectPr w:rsidR="0015098C" w:rsidSect="0001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A1"/>
    <w:rsid w:val="0015098C"/>
    <w:rsid w:val="00D7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5B561-F2B7-40D9-8E94-B49E9EA1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40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3677" TargetMode="External"/><Relationship Id="rId18" Type="http://schemas.openxmlformats.org/officeDocument/2006/relationships/hyperlink" Target="https://login.consultant.ru/link/?req=doc&amp;base=INT&amp;n=72575&amp;dst=100017" TargetMode="External"/><Relationship Id="rId26" Type="http://schemas.openxmlformats.org/officeDocument/2006/relationships/hyperlink" Target="https://login.consultant.ru/link/?req=doc&amp;base=LAW&amp;n=499763&amp;dst=100048" TargetMode="External"/><Relationship Id="rId39" Type="http://schemas.openxmlformats.org/officeDocument/2006/relationships/hyperlink" Target="https://login.consultant.ru/link/?req=doc&amp;base=LAW&amp;n=503677&amp;dst=118" TargetMode="External"/><Relationship Id="rId21" Type="http://schemas.openxmlformats.org/officeDocument/2006/relationships/hyperlink" Target="https://login.consultant.ru/link/?req=doc&amp;base=LAW&amp;n=503677&amp;dst=105" TargetMode="External"/><Relationship Id="rId34" Type="http://schemas.openxmlformats.org/officeDocument/2006/relationships/hyperlink" Target="https://login.consultant.ru/link/?req=doc&amp;base=LAW&amp;n=99168&amp;dst=100013" TargetMode="External"/><Relationship Id="rId7" Type="http://schemas.openxmlformats.org/officeDocument/2006/relationships/hyperlink" Target="https://login.consultant.ru/link/?req=doc&amp;base=LAW&amp;n=1186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INT&amp;n=65877" TargetMode="External"/><Relationship Id="rId20" Type="http://schemas.openxmlformats.org/officeDocument/2006/relationships/hyperlink" Target="https://login.consultant.ru/link/?req=doc&amp;base=LAW&amp;n=503677&amp;dst=109" TargetMode="External"/><Relationship Id="rId29" Type="http://schemas.openxmlformats.org/officeDocument/2006/relationships/hyperlink" Target="https://login.consultant.ru/link/?req=doc&amp;base=LAW&amp;n=367419&amp;dst=100116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1368" TargetMode="External"/><Relationship Id="rId11" Type="http://schemas.openxmlformats.org/officeDocument/2006/relationships/hyperlink" Target="https://login.consultant.ru/link/?req=doc&amp;base=INT&amp;n=65877&amp;dst=116686" TargetMode="External"/><Relationship Id="rId24" Type="http://schemas.openxmlformats.org/officeDocument/2006/relationships/hyperlink" Target="https://login.consultant.ru/link/?req=doc&amp;base=LAW&amp;n=503677&amp;dst=43" TargetMode="External"/><Relationship Id="rId32" Type="http://schemas.openxmlformats.org/officeDocument/2006/relationships/hyperlink" Target="https://login.consultant.ru/link/?req=doc&amp;base=LAW&amp;n=199482" TargetMode="External"/><Relationship Id="rId37" Type="http://schemas.openxmlformats.org/officeDocument/2006/relationships/hyperlink" Target="https://login.consultant.ru/link/?req=doc&amp;base=LAW&amp;n=503677&amp;dst=127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2595&amp;dst=86" TargetMode="External"/><Relationship Id="rId15" Type="http://schemas.openxmlformats.org/officeDocument/2006/relationships/hyperlink" Target="https://login.consultant.ru/link/?req=doc&amp;base=INT&amp;n=72575" TargetMode="External"/><Relationship Id="rId23" Type="http://schemas.openxmlformats.org/officeDocument/2006/relationships/hyperlink" Target="https://login.consultant.ru/link/?req=doc&amp;base=LAW&amp;n=503677&amp;dst=62" TargetMode="External"/><Relationship Id="rId28" Type="http://schemas.openxmlformats.org/officeDocument/2006/relationships/hyperlink" Target="https://login.consultant.ru/link/?req=doc&amp;base=LAW&amp;n=499763&amp;dst=57" TargetMode="External"/><Relationship Id="rId36" Type="http://schemas.openxmlformats.org/officeDocument/2006/relationships/hyperlink" Target="https://login.consultant.ru/link/?req=doc&amp;base=LAW&amp;n=503677&amp;dst=100012" TargetMode="External"/><Relationship Id="rId10" Type="http://schemas.openxmlformats.org/officeDocument/2006/relationships/hyperlink" Target="https://login.consultant.ru/link/?req=doc&amp;base=LAW&amp;n=321302&amp;dst=100015" TargetMode="External"/><Relationship Id="rId19" Type="http://schemas.openxmlformats.org/officeDocument/2006/relationships/hyperlink" Target="https://login.consultant.ru/link/?req=doc&amp;base=LAW&amp;n=503677&amp;dst=109" TargetMode="External"/><Relationship Id="rId31" Type="http://schemas.openxmlformats.org/officeDocument/2006/relationships/hyperlink" Target="https://login.consultant.ru/link/?req=doc&amp;base=LAW&amp;n=199482&amp;dst=100010" TargetMode="External"/><Relationship Id="rId4" Type="http://schemas.openxmlformats.org/officeDocument/2006/relationships/hyperlink" Target="https://login.consultant.ru/link/?req=doc&amp;base=LAW&amp;n=503677&amp;dst=104" TargetMode="External"/><Relationship Id="rId9" Type="http://schemas.openxmlformats.org/officeDocument/2006/relationships/hyperlink" Target="https://login.consultant.ru/link/?req=doc&amp;base=LAW&amp;n=302834" TargetMode="External"/><Relationship Id="rId14" Type="http://schemas.openxmlformats.org/officeDocument/2006/relationships/hyperlink" Target="https://login.consultant.ru/link/?req=doc&amp;base=INT&amp;n=65877" TargetMode="External"/><Relationship Id="rId22" Type="http://schemas.openxmlformats.org/officeDocument/2006/relationships/hyperlink" Target="https://login.consultant.ru/link/?req=doc&amp;base=LAW&amp;n=503677&amp;dst=62" TargetMode="External"/><Relationship Id="rId27" Type="http://schemas.openxmlformats.org/officeDocument/2006/relationships/hyperlink" Target="https://login.consultant.ru/link/?req=doc&amp;base=LAW&amp;n=499763&amp;dst=100342" TargetMode="External"/><Relationship Id="rId30" Type="http://schemas.openxmlformats.org/officeDocument/2006/relationships/hyperlink" Target="https://login.consultant.ru/link/?req=doc&amp;base=LAW&amp;n=499763&amp;dst=100021" TargetMode="External"/><Relationship Id="rId35" Type="http://schemas.openxmlformats.org/officeDocument/2006/relationships/hyperlink" Target="https://login.consultant.ru/link/?req=doc&amp;base=LAW&amp;n=442096&amp;dst=100025" TargetMode="External"/><Relationship Id="rId8" Type="http://schemas.openxmlformats.org/officeDocument/2006/relationships/hyperlink" Target="https://login.consultant.ru/link/?req=doc&amp;base=LAW&amp;n=2063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INT&amp;n=72575&amp;dst=100017" TargetMode="External"/><Relationship Id="rId17" Type="http://schemas.openxmlformats.org/officeDocument/2006/relationships/hyperlink" Target="https://login.consultant.ru/link/?req=doc&amp;base=INT&amp;n=65877&amp;dst=116686" TargetMode="External"/><Relationship Id="rId25" Type="http://schemas.openxmlformats.org/officeDocument/2006/relationships/hyperlink" Target="https://login.consultant.ru/link/?req=doc&amp;base=LAW&amp;n=499338" TargetMode="External"/><Relationship Id="rId33" Type="http://schemas.openxmlformats.org/officeDocument/2006/relationships/hyperlink" Target="https://login.consultant.ru/link/?req=doc&amp;base=LAW&amp;n=503677" TargetMode="External"/><Relationship Id="rId38" Type="http://schemas.openxmlformats.org/officeDocument/2006/relationships/hyperlink" Target="https://login.consultant.ru/link/?req=doc&amp;base=LAW&amp;n=503677&amp;dst=100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4342</Words>
  <Characters>24750</Characters>
  <Application>Microsoft Office Word</Application>
  <DocSecurity>0</DocSecurity>
  <Lines>206</Lines>
  <Paragraphs>58</Paragraphs>
  <ScaleCrop>false</ScaleCrop>
  <Company/>
  <LinksUpToDate>false</LinksUpToDate>
  <CharactersWithSpaces>29034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Владимирович Горбатов</dc:creator>
  <cp:keywords/>
  <dc:description/>
  <cp:lastModifiedBy>Виталий Владимирович Горбатов</cp:lastModifiedBy>
  <cp:revision>1</cp:revision>
  <dcterms:created xsi:type="dcterms:W3CDTF">2025-10-15T12:00:00Z</dcterms:created>
  <dcterms:modified xsi:type="dcterms:W3CDTF">2025-10-15T12:00:00Z</dcterms:modified>
</cp:coreProperties>
</file>