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F3">
        <w:rPr>
          <w:rFonts w:ascii="Times New Roman" w:hAnsi="Times New Roman" w:cs="Times New Roman"/>
          <w:b/>
          <w:sz w:val="24"/>
          <w:szCs w:val="24"/>
        </w:rPr>
        <w:t>24.11</w:t>
      </w:r>
      <w:r w:rsidR="00CE794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54A70" w:rsidRPr="00490034" w:rsidRDefault="00854A70" w:rsidP="00854A70">
      <w:pPr>
        <w:autoSpaceDE w:val="0"/>
        <w:autoSpaceDN w:val="0"/>
        <w:spacing w:after="0" w:afterAutospacing="0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E43" w:rsidRDefault="00854A70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490034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4A3" w:rsidRPr="00C27F24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000432;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0616F3" w:rsidRDefault="000616F3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Группа Компаний «Жилищный стандарт» - лицензия от 25.04.2022 № 037000468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29.01.2019 № 67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7"/>
        <w:gridCol w:w="3828"/>
        <w:gridCol w:w="1134"/>
        <w:gridCol w:w="2283"/>
        <w:gridCol w:w="2474"/>
      </w:tblGrid>
      <w:tr w:rsidR="00CE794F" w:rsidRPr="00CE794F" w:rsidTr="00490034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83BC0" w:rsidTr="00490034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0" w:rsidRPr="00B83BC0" w:rsidRDefault="00B83BC0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Управляющая организация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15 Проезд, д.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490034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Красной Армии, д. 20А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490034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  <w:bookmarkStart w:id="0" w:name="_GoBack"/>
            <w:bookmarkEnd w:id="0"/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Поэта Лебедева,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Менделеева,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Третьего Интернационала, д. 35/31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90034">
              <w:rPr>
                <w:rFonts w:ascii="Times New Roman" w:hAnsi="Times New Roman" w:cs="Times New Roman"/>
              </w:rPr>
              <w:t>Жугина</w:t>
            </w:r>
            <w:proofErr w:type="spellEnd"/>
            <w:r w:rsidRPr="00490034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90034">
              <w:rPr>
                <w:rFonts w:ascii="Times New Roman" w:hAnsi="Times New Roman" w:cs="Times New Roman"/>
              </w:rPr>
              <w:t>Трибунальная</w:t>
            </w:r>
            <w:proofErr w:type="spellEnd"/>
            <w:r w:rsidRPr="00490034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Поэта Лебедева,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490034" w:rsidP="00490034">
            <w:pPr>
              <w:ind w:firstLine="0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ул. Ташкентская, д.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B83BC0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Группа компаний «Жилищный стандарт»</w:t>
            </w:r>
          </w:p>
        </w:tc>
      </w:tr>
    </w:tbl>
    <w:p w:rsidR="00B83BC0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490034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490034">
              <w:rPr>
                <w:rFonts w:ascii="Times New Roman" w:eastAsia="Times New Roman" w:hAnsi="Times New Roman" w:cs="Times New Roman"/>
                <w:lang w:eastAsia="ru-RU"/>
              </w:rPr>
              <w:t>пяти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7105D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210C2D" w:rsidRDefault="00210C2D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34" w:rsidRPr="00210C2D" w:rsidRDefault="00490034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210C2D" w:rsidRPr="00210C2D" w:rsidTr="00210C2D"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0616F3" w:rsidP="000616F3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0616F3" w:rsidP="006E6F7A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FA27E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10C2D" w:rsidRDefault="00210C2D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4F11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61" w:rsidRDefault="00F11F61" w:rsidP="0085259C">
      <w:pPr>
        <w:spacing w:after="0"/>
      </w:pPr>
      <w:r>
        <w:separator/>
      </w:r>
    </w:p>
  </w:endnote>
  <w:endnote w:type="continuationSeparator" w:id="0">
    <w:p w:rsidR="00F11F61" w:rsidRDefault="00F11F61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61" w:rsidRDefault="00F11F61" w:rsidP="0085259C">
      <w:pPr>
        <w:spacing w:after="0"/>
      </w:pPr>
      <w:r>
        <w:separator/>
      </w:r>
    </w:p>
  </w:footnote>
  <w:footnote w:type="continuationSeparator" w:id="0">
    <w:p w:rsidR="00F11F61" w:rsidRDefault="00F11F61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616F3"/>
    <w:rsid w:val="00065987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A27A1"/>
    <w:rsid w:val="004C7C9A"/>
    <w:rsid w:val="004F11B0"/>
    <w:rsid w:val="004F55A7"/>
    <w:rsid w:val="005275C3"/>
    <w:rsid w:val="00532B25"/>
    <w:rsid w:val="00532E31"/>
    <w:rsid w:val="0057105D"/>
    <w:rsid w:val="005873AC"/>
    <w:rsid w:val="005B24A3"/>
    <w:rsid w:val="005C7534"/>
    <w:rsid w:val="005E476E"/>
    <w:rsid w:val="005F0A92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700BF5"/>
    <w:rsid w:val="00717EDC"/>
    <w:rsid w:val="00734557"/>
    <w:rsid w:val="007345D9"/>
    <w:rsid w:val="00744092"/>
    <w:rsid w:val="007556B8"/>
    <w:rsid w:val="00760E4F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7011"/>
    <w:rsid w:val="00A17D1D"/>
    <w:rsid w:val="00A22543"/>
    <w:rsid w:val="00A27022"/>
    <w:rsid w:val="00A73E80"/>
    <w:rsid w:val="00A84B90"/>
    <w:rsid w:val="00AA30BF"/>
    <w:rsid w:val="00AA3F7A"/>
    <w:rsid w:val="00AA54B9"/>
    <w:rsid w:val="00AB4143"/>
    <w:rsid w:val="00AB675D"/>
    <w:rsid w:val="00AC4585"/>
    <w:rsid w:val="00B118C4"/>
    <w:rsid w:val="00B36346"/>
    <w:rsid w:val="00B4441A"/>
    <w:rsid w:val="00B6270E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57C9"/>
    <w:rsid w:val="00C978A0"/>
    <w:rsid w:val="00CE794F"/>
    <w:rsid w:val="00D02C45"/>
    <w:rsid w:val="00D21917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52666"/>
    <w:rsid w:val="00E63DEE"/>
    <w:rsid w:val="00E730B1"/>
    <w:rsid w:val="00E97D53"/>
    <w:rsid w:val="00EC1E90"/>
    <w:rsid w:val="00ED0752"/>
    <w:rsid w:val="00EE3C3E"/>
    <w:rsid w:val="00EE6D4B"/>
    <w:rsid w:val="00F02F10"/>
    <w:rsid w:val="00F07393"/>
    <w:rsid w:val="00F11F61"/>
    <w:rsid w:val="00F137B7"/>
    <w:rsid w:val="00F37594"/>
    <w:rsid w:val="00F615CA"/>
    <w:rsid w:val="00FA0060"/>
    <w:rsid w:val="00FA1324"/>
    <w:rsid w:val="00FA27EB"/>
    <w:rsid w:val="00FC3EE1"/>
    <w:rsid w:val="00FD39C7"/>
    <w:rsid w:val="00FD5CDF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EA5B-2FC7-41DD-9954-D03B0C4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0DBA-310A-4E4B-B89E-5E7853B7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147</cp:revision>
  <cp:lastPrinted>2022-09-15T11:39:00Z</cp:lastPrinted>
  <dcterms:created xsi:type="dcterms:W3CDTF">2019-07-26T05:32:00Z</dcterms:created>
  <dcterms:modified xsi:type="dcterms:W3CDTF">2022-11-24T08:10:00Z</dcterms:modified>
</cp:coreProperties>
</file>