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108" w:type="dxa"/>
        <w:tblLayout w:type="fixed"/>
        <w:tblCellMar>
          <w:top w:w="0" w:type="dxa"/>
          <w:left w:w="108" w:type="dxa"/>
          <w:bottom w:w="0" w:type="dxa"/>
          <w:right w:w="108" w:type="dxa"/>
        </w:tblCellMar>
      </w:tblPr>
      <w:tblGrid>
        <w:gridCol w:w="13290"/>
      </w:tblGrid>
      <w:tr>
        <w:trPr/>
        <w:tc>
          <w:tcPr>
            <w:tcW w:w="13290" w:type="dxa"/>
            <w:tcBorders/>
          </w:tcPr>
          <w:p>
            <w:pPr>
              <w:pStyle w:val="Normal"/>
              <w:widowControl w:val="false"/>
              <w:spacing w:before="0" w:after="0"/>
              <w:ind w:left="0" w:right="0" w:hanging="0"/>
              <w:jc w:val="right"/>
              <w:rPr>
                <w:rFonts w:ascii="Times New Roman" w:hAnsi="Times New Roman" w:eastAsia="Times New Roman" w:cs="Times New Roman"/>
                <w:sz w:val="24"/>
              </w:rPr>
            </w:pPr>
            <w:r>
              <w:rPr>
                <w:rFonts w:eastAsia="Times New Roman" w:cs="Times New Roman" w:ascii="Times New Roman" w:hAnsi="Times New Roman"/>
                <w:sz w:val="20"/>
                <w:szCs w:val="20"/>
              </w:rPr>
              <w:t> </w:t>
            </w:r>
          </w:p>
        </w:tc>
      </w:tr>
    </w:tbl>
    <w:p>
      <w:pPr>
        <w:pStyle w:val="Normal"/>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vanish/>
          <w:sz w:val="24"/>
          <w:szCs w:val="24"/>
        </w:rPr>
        <w:t> </w:t>
      </w:r>
    </w:p>
    <w:tbl>
      <w:tblPr>
        <w:tblW w:w="10123" w:type="dxa"/>
        <w:jc w:val="left"/>
        <w:tblInd w:w="201" w:type="dxa"/>
        <w:tblLayout w:type="fixed"/>
        <w:tblCellMar>
          <w:top w:w="0" w:type="dxa"/>
          <w:left w:w="108" w:type="dxa"/>
          <w:bottom w:w="0" w:type="dxa"/>
          <w:right w:w="108" w:type="dxa"/>
        </w:tblCellMar>
      </w:tblPr>
      <w:tblGrid>
        <w:gridCol w:w="2530"/>
        <w:gridCol w:w="2531"/>
        <w:gridCol w:w="878"/>
        <w:gridCol w:w="222"/>
        <w:gridCol w:w="1430"/>
        <w:gridCol w:w="70"/>
        <w:gridCol w:w="2461"/>
      </w:tblGrid>
      <w:tr>
        <w:trPr>
          <w:trHeight w:val="270" w:hRule="atLeast"/>
        </w:trPr>
        <w:tc>
          <w:tcPr>
            <w:tcW w:w="5939" w:type="dxa"/>
            <w:gridSpan w:val="3"/>
            <w:tcBorders/>
            <w:vAlign w:val="bottom"/>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b/>
                <w:sz w:val="20"/>
                <w:szCs w:val="20"/>
              </w:rPr>
              <w:t>ПОЯСНИТЕЛЬНАЯ ЗАПИСКА</w:t>
            </w:r>
          </w:p>
        </w:tc>
        <w:tc>
          <w:tcPr>
            <w:tcW w:w="222" w:type="dxa"/>
            <w:tcBorders/>
            <w:vAlign w:val="bottom"/>
          </w:tcPr>
          <w:p>
            <w:pPr>
              <w:pStyle w:val="Normal"/>
              <w:widowControl w:val="false"/>
              <w:ind w:left="0" w:right="0" w:hanging="0"/>
              <w:rPr>
                <w:sz w:val="24"/>
              </w:rPr>
            </w:pPr>
            <w:r>
              <w:rPr>
                <w:sz w:val="24"/>
              </w:rPr>
            </w:r>
          </w:p>
        </w:tc>
        <w:tc>
          <w:tcPr>
            <w:tcW w:w="1500" w:type="dxa"/>
            <w:gridSpan w:val="2"/>
            <w:tcBorders/>
            <w:vAlign w:val="bottom"/>
          </w:tcPr>
          <w:p>
            <w:pPr>
              <w:pStyle w:val="Normal"/>
              <w:widowControl w:val="false"/>
              <w:ind w:left="0" w:right="0" w:hanging="0"/>
              <w:rPr>
                <w:sz w:val="24"/>
              </w:rPr>
            </w:pPr>
            <w:r>
              <w:rPr>
                <w:sz w:val="24"/>
              </w:rPr>
            </w:r>
          </w:p>
        </w:tc>
        <w:tc>
          <w:tcPr>
            <w:tcW w:w="2461" w:type="dxa"/>
            <w:tcBorders/>
            <w:vAlign w:val="bottom"/>
          </w:tcPr>
          <w:p>
            <w:pPr>
              <w:pStyle w:val="Normal"/>
              <w:widowControl w:val="false"/>
              <w:ind w:left="0" w:right="0" w:hanging="0"/>
              <w:rPr>
                <w:sz w:val="24"/>
              </w:rPr>
            </w:pPr>
            <w:r>
              <w:rPr>
                <w:sz w:val="24"/>
              </w:rPr>
            </w:r>
          </w:p>
        </w:tc>
      </w:tr>
      <w:tr>
        <w:trPr>
          <w:trHeight w:val="255" w:hRule="atLeast"/>
        </w:trPr>
        <w:tc>
          <w:tcPr>
            <w:tcW w:w="5939" w:type="dxa"/>
            <w:gridSpan w:val="3"/>
            <w:tcBorders/>
            <w:vAlign w:val="bottom"/>
          </w:tcPr>
          <w:p>
            <w:pPr>
              <w:pStyle w:val="Normal"/>
              <w:widowControl w:val="false"/>
              <w:ind w:left="0" w:right="0" w:hanging="0"/>
              <w:rPr>
                <w:sz w:val="24"/>
              </w:rPr>
            </w:pPr>
            <w:r>
              <w:rPr>
                <w:sz w:val="24"/>
              </w:rPr>
            </w:r>
          </w:p>
        </w:tc>
        <w:tc>
          <w:tcPr>
            <w:tcW w:w="222" w:type="dxa"/>
            <w:tcBorders/>
            <w:vAlign w:val="bottom"/>
          </w:tcPr>
          <w:p>
            <w:pPr>
              <w:pStyle w:val="Normal"/>
              <w:widowControl w:val="false"/>
              <w:ind w:left="0" w:right="0" w:hanging="0"/>
              <w:rPr>
                <w:sz w:val="24"/>
              </w:rPr>
            </w:pPr>
            <w:r>
              <w:rPr>
                <w:sz w:val="24"/>
              </w:rPr>
            </w:r>
          </w:p>
        </w:tc>
        <w:tc>
          <w:tcPr>
            <w:tcW w:w="1500" w:type="dxa"/>
            <w:gridSpan w:val="2"/>
            <w:tcBorders/>
            <w:vAlign w:val="bottom"/>
          </w:tcPr>
          <w:p>
            <w:pPr>
              <w:pStyle w:val="Normal"/>
              <w:widowControl w:val="false"/>
              <w:ind w:left="0" w:right="0" w:hanging="0"/>
              <w:rPr>
                <w:sz w:val="24"/>
              </w:rPr>
            </w:pPr>
            <w:r>
              <w:rPr>
                <w:sz w:val="24"/>
              </w:rPr>
            </w:r>
          </w:p>
        </w:tc>
        <w:tc>
          <w:tcPr>
            <w:tcW w:w="2461"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18"/>
                <w:szCs w:val="18"/>
              </w:rPr>
              <w:t>КОДЫ</w:t>
            </w:r>
          </w:p>
        </w:tc>
      </w:tr>
      <w:tr>
        <w:trPr>
          <w:trHeight w:val="282" w:hRule="atLeast"/>
        </w:trPr>
        <w:tc>
          <w:tcPr>
            <w:tcW w:w="2530" w:type="dxa"/>
            <w:tcBorders/>
            <w:vAlign w:val="bottom"/>
          </w:tcPr>
          <w:p>
            <w:pPr>
              <w:pStyle w:val="Normal"/>
              <w:widowControl w:val="false"/>
              <w:ind w:left="0" w:right="0" w:hanging="0"/>
              <w:rPr>
                <w:sz w:val="24"/>
              </w:rPr>
            </w:pPr>
            <w:r>
              <w:rPr>
                <w:sz w:val="24"/>
              </w:rPr>
            </w:r>
          </w:p>
        </w:tc>
        <w:tc>
          <w:tcPr>
            <w:tcW w:w="2531" w:type="dxa"/>
            <w:tcBorders/>
            <w:vAlign w:val="bottom"/>
          </w:tcPr>
          <w:p>
            <w:pPr>
              <w:pStyle w:val="Normal"/>
              <w:widowControl w:val="false"/>
              <w:spacing w:before="0" w:after="0"/>
              <w:ind w:left="0" w:right="0" w:hanging="0"/>
              <w:jc w:val="right"/>
              <w:rPr>
                <w:rFonts w:ascii="Times New Roman" w:hAnsi="Times New Roman" w:eastAsia="Times New Roman" w:cs="Times New Roman"/>
                <w:sz w:val="24"/>
              </w:rPr>
            </w:pPr>
            <w:r>
              <w:rPr>
                <w:rFonts w:eastAsia="Times New Roman" w:cs="Times New Roman" w:ascii="Times New Roman" w:hAnsi="Times New Roman"/>
                <w:sz w:val="18"/>
                <w:szCs w:val="18"/>
              </w:rPr>
              <w:t>Форма по ОКУД</w:t>
            </w:r>
          </w:p>
        </w:tc>
        <w:tc>
          <w:tcPr>
            <w:tcW w:w="5061" w:type="dxa"/>
            <w:gridSpan w:val="5"/>
            <w:tcBorders>
              <w:left w:val="single" w:sz="8" w:space="0" w:color="000000"/>
              <w:bottom w:val="single" w:sz="8" w:space="0" w:color="000000"/>
              <w:right w:val="single" w:sz="8" w:space="0" w:color="000000"/>
            </w:tcBorders>
            <w:vAlign w:val="bottom"/>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18"/>
                <w:szCs w:val="18"/>
              </w:rPr>
              <w:t>0503160</w:t>
            </w:r>
          </w:p>
        </w:tc>
      </w:tr>
      <w:tr>
        <w:trPr>
          <w:trHeight w:val="282" w:hRule="atLeast"/>
        </w:trPr>
        <w:tc>
          <w:tcPr>
            <w:tcW w:w="2530" w:type="dxa"/>
            <w:tcBorders/>
            <w:vAlign w:val="bottom"/>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на   1 января 2023 г.</w:t>
            </w:r>
          </w:p>
        </w:tc>
        <w:tc>
          <w:tcPr>
            <w:tcW w:w="2531" w:type="dxa"/>
            <w:tcBorders/>
            <w:vAlign w:val="bottom"/>
          </w:tcPr>
          <w:p>
            <w:pPr>
              <w:pStyle w:val="Normal"/>
              <w:widowControl w:val="false"/>
              <w:spacing w:before="0" w:after="0"/>
              <w:ind w:left="0" w:right="0" w:hanging="0"/>
              <w:jc w:val="right"/>
              <w:rPr>
                <w:rFonts w:ascii="Times New Roman" w:hAnsi="Times New Roman" w:eastAsia="Times New Roman" w:cs="Times New Roman"/>
                <w:sz w:val="24"/>
              </w:rPr>
            </w:pPr>
            <w:r>
              <w:rPr>
                <w:rFonts w:eastAsia="Times New Roman" w:cs="Times New Roman" w:ascii="Times New Roman" w:hAnsi="Times New Roman"/>
                <w:sz w:val="18"/>
                <w:szCs w:val="18"/>
              </w:rPr>
              <w:t> </w:t>
            </w:r>
            <w:r>
              <w:rPr>
                <w:rFonts w:eastAsia="Times New Roman" w:cs="Times New Roman" w:ascii="Times New Roman" w:hAnsi="Times New Roman"/>
                <w:sz w:val="18"/>
                <w:szCs w:val="18"/>
              </w:rPr>
              <w:t>Дата</w:t>
            </w:r>
          </w:p>
        </w:tc>
        <w:tc>
          <w:tcPr>
            <w:tcW w:w="5061" w:type="dxa"/>
            <w:gridSpan w:val="5"/>
            <w:tcBorders>
              <w:left w:val="single" w:sz="8" w:space="0" w:color="000000"/>
              <w:bottom w:val="single" w:sz="8" w:space="0" w:color="000000"/>
              <w:right w:val="single" w:sz="8" w:space="0" w:color="000000"/>
            </w:tcBorders>
            <w:vAlign w:val="bottom"/>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18"/>
                <w:szCs w:val="18"/>
              </w:rPr>
              <w:t>01.01.2023</w:t>
            </w:r>
          </w:p>
        </w:tc>
      </w:tr>
      <w:tr>
        <w:trPr>
          <w:trHeight w:val="300" w:hRule="atLeast"/>
        </w:trPr>
        <w:tc>
          <w:tcPr>
            <w:tcW w:w="5939" w:type="dxa"/>
            <w:gridSpan w:val="3"/>
            <w:tcBorders/>
            <w:vAlign w:val="bottom"/>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Главный распорядитель, распорядитель,</w:t>
            </w:r>
          </w:p>
        </w:tc>
        <w:tc>
          <w:tcPr>
            <w:tcW w:w="222" w:type="dxa"/>
            <w:tcBorders/>
            <w:vAlign w:val="bottom"/>
          </w:tcPr>
          <w:p>
            <w:pPr>
              <w:pStyle w:val="Normal"/>
              <w:widowControl w:val="false"/>
              <w:ind w:left="0" w:right="0" w:hanging="0"/>
              <w:rPr>
                <w:sz w:val="24"/>
              </w:rPr>
            </w:pPr>
            <w:r>
              <w:rPr>
                <w:sz w:val="24"/>
              </w:rPr>
            </w:r>
          </w:p>
        </w:tc>
        <w:tc>
          <w:tcPr>
            <w:tcW w:w="1500" w:type="dxa"/>
            <w:gridSpan w:val="2"/>
            <w:tcBorders/>
            <w:vAlign w:val="bottom"/>
          </w:tcPr>
          <w:p>
            <w:pPr>
              <w:pStyle w:val="Normal"/>
              <w:widowControl w:val="false"/>
              <w:spacing w:before="0" w:after="0"/>
              <w:ind w:left="0" w:right="0" w:hanging="0"/>
              <w:jc w:val="right"/>
              <w:rPr>
                <w:rFonts w:ascii="Times New Roman" w:hAnsi="Times New Roman" w:eastAsia="Times New Roman" w:cs="Times New Roman"/>
                <w:sz w:val="24"/>
              </w:rPr>
            </w:pPr>
            <w:r>
              <w:rPr>
                <w:rFonts w:eastAsia="Times New Roman" w:cs="Times New Roman" w:ascii="Times New Roman" w:hAnsi="Times New Roman"/>
                <w:sz w:val="18"/>
                <w:szCs w:val="18"/>
              </w:rPr>
              <w:t>Код субъекта бюджетной отчетности</w:t>
            </w:r>
          </w:p>
        </w:tc>
        <w:tc>
          <w:tcPr>
            <w:tcW w:w="2461" w:type="dxa"/>
            <w:tcBorders>
              <w:left w:val="single" w:sz="8" w:space="0" w:color="000000"/>
              <w:right w:val="single" w:sz="8" w:space="0" w:color="000000"/>
            </w:tcBorders>
            <w:vAlign w:val="bottom"/>
          </w:tcPr>
          <w:p>
            <w:pPr>
              <w:pStyle w:val="Normal"/>
              <w:widowControl w:val="false"/>
              <w:spacing w:lineRule="auto" w:line="300"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18"/>
                <w:szCs w:val="18"/>
              </w:rPr>
              <w:t>ГРБС</w:t>
            </w:r>
          </w:p>
        </w:tc>
      </w:tr>
      <w:tr>
        <w:trPr>
          <w:trHeight w:val="195" w:hRule="atLeast"/>
        </w:trPr>
        <w:tc>
          <w:tcPr>
            <w:tcW w:w="5939" w:type="dxa"/>
            <w:gridSpan w:val="3"/>
            <w:tcBorders/>
            <w:vAlign w:val="bottom"/>
          </w:tcPr>
          <w:p>
            <w:pPr>
              <w:pStyle w:val="Normal"/>
              <w:widowControl w:val="false"/>
              <w:spacing w:lineRule="atLeast" w:line="195"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получатель бюджетных средств, главный администратор,   </w:t>
            </w:r>
          </w:p>
        </w:tc>
        <w:tc>
          <w:tcPr>
            <w:tcW w:w="222" w:type="dxa"/>
            <w:tcBorders/>
            <w:vAlign w:val="bottom"/>
          </w:tcPr>
          <w:p>
            <w:pPr>
              <w:pStyle w:val="Normal"/>
              <w:widowControl w:val="false"/>
              <w:ind w:left="0" w:right="0" w:hanging="0"/>
              <w:rPr>
                <w:sz w:val="20"/>
              </w:rPr>
            </w:pPr>
            <w:r>
              <w:rPr>
                <w:sz w:val="20"/>
              </w:rPr>
            </w:r>
          </w:p>
        </w:tc>
        <w:tc>
          <w:tcPr>
            <w:tcW w:w="1500" w:type="dxa"/>
            <w:gridSpan w:val="2"/>
            <w:tcBorders/>
            <w:vAlign w:val="bottom"/>
          </w:tcPr>
          <w:p>
            <w:pPr>
              <w:pStyle w:val="Normal"/>
              <w:widowControl w:val="false"/>
              <w:ind w:left="0" w:right="0" w:hanging="0"/>
              <w:rPr>
                <w:sz w:val="20"/>
              </w:rPr>
            </w:pPr>
            <w:r>
              <w:rPr>
                <w:sz w:val="20"/>
              </w:rPr>
            </w:r>
          </w:p>
        </w:tc>
        <w:tc>
          <w:tcPr>
            <w:tcW w:w="2461" w:type="dxa"/>
            <w:tcBorders>
              <w:left w:val="single" w:sz="8" w:space="0" w:color="000000"/>
              <w:bottom w:val="single" w:sz="8" w:space="0" w:color="000000"/>
              <w:right w:val="single" w:sz="8" w:space="0" w:color="000000"/>
            </w:tcBorders>
            <w:vAlign w:val="bottom"/>
          </w:tcPr>
          <w:p>
            <w:pPr>
              <w:pStyle w:val="Normal"/>
              <w:widowControl w:val="false"/>
              <w:ind w:left="0" w:right="0" w:hanging="0"/>
              <w:rPr>
                <w:sz w:val="20"/>
              </w:rPr>
            </w:pPr>
            <w:r>
              <w:rPr>
                <w:sz w:val="20"/>
              </w:rPr>
            </w:r>
          </w:p>
        </w:tc>
      </w:tr>
      <w:tr>
        <w:trPr>
          <w:trHeight w:val="195" w:hRule="atLeast"/>
        </w:trPr>
        <w:tc>
          <w:tcPr>
            <w:tcW w:w="5939" w:type="dxa"/>
            <w:gridSpan w:val="3"/>
            <w:tcBorders/>
            <w:vAlign w:val="bottom"/>
          </w:tcPr>
          <w:p>
            <w:pPr>
              <w:pStyle w:val="Normal"/>
              <w:widowControl w:val="false"/>
              <w:spacing w:lineRule="atLeast" w:line="195"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администратор доходов бюджета,</w:t>
            </w:r>
          </w:p>
        </w:tc>
        <w:tc>
          <w:tcPr>
            <w:tcW w:w="222" w:type="dxa"/>
            <w:tcBorders/>
            <w:vAlign w:val="bottom"/>
          </w:tcPr>
          <w:p>
            <w:pPr>
              <w:pStyle w:val="Normal"/>
              <w:widowControl w:val="false"/>
              <w:ind w:left="0" w:right="0" w:hanging="0"/>
              <w:rPr>
                <w:sz w:val="20"/>
              </w:rPr>
            </w:pPr>
            <w:r>
              <w:rPr>
                <w:sz w:val="20"/>
              </w:rPr>
            </w:r>
          </w:p>
        </w:tc>
        <w:tc>
          <w:tcPr>
            <w:tcW w:w="1500" w:type="dxa"/>
            <w:gridSpan w:val="2"/>
            <w:tcBorders/>
            <w:vAlign w:val="bottom"/>
          </w:tcPr>
          <w:p>
            <w:pPr>
              <w:pStyle w:val="Normal"/>
              <w:widowControl w:val="false"/>
              <w:spacing w:lineRule="atLeast" w:line="195" w:before="0" w:after="0"/>
              <w:ind w:left="0" w:right="0" w:hanging="0"/>
              <w:jc w:val="right"/>
              <w:rPr>
                <w:rFonts w:ascii="Times New Roman" w:hAnsi="Times New Roman" w:eastAsia="Times New Roman" w:cs="Times New Roman"/>
                <w:sz w:val="24"/>
              </w:rPr>
            </w:pPr>
            <w:r>
              <w:rPr>
                <w:rFonts w:eastAsia="Times New Roman" w:cs="Times New Roman" w:ascii="Times New Roman" w:hAnsi="Times New Roman"/>
                <w:sz w:val="18"/>
                <w:szCs w:val="18"/>
              </w:rPr>
              <w:t>по ОКПО</w:t>
            </w:r>
          </w:p>
        </w:tc>
        <w:tc>
          <w:tcPr>
            <w:tcW w:w="2461" w:type="dxa"/>
            <w:tcBorders>
              <w:left w:val="single" w:sz="8" w:space="0" w:color="000000"/>
              <w:right w:val="single" w:sz="8" w:space="0" w:color="000000"/>
            </w:tcBorders>
            <w:vAlign w:val="bottom"/>
          </w:tcPr>
          <w:p>
            <w:pPr>
              <w:pStyle w:val="Normal"/>
              <w:widowControl w:val="false"/>
              <w:spacing w:lineRule="atLeast" w:line="195"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18"/>
                <w:szCs w:val="18"/>
              </w:rPr>
              <w:t>03323034</w:t>
            </w:r>
          </w:p>
        </w:tc>
      </w:tr>
      <w:tr>
        <w:trPr>
          <w:trHeight w:val="195" w:hRule="atLeast"/>
        </w:trPr>
        <w:tc>
          <w:tcPr>
            <w:tcW w:w="5939" w:type="dxa"/>
            <w:gridSpan w:val="3"/>
            <w:tcBorders/>
            <w:vAlign w:val="bottom"/>
          </w:tcPr>
          <w:p>
            <w:pPr>
              <w:pStyle w:val="Normal"/>
              <w:widowControl w:val="false"/>
              <w:spacing w:lineRule="atLeast" w:line="195"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 xml:space="preserve">главный администратор, администратор </w:t>
            </w:r>
          </w:p>
        </w:tc>
        <w:tc>
          <w:tcPr>
            <w:tcW w:w="222" w:type="dxa"/>
            <w:tcBorders/>
            <w:vAlign w:val="bottom"/>
          </w:tcPr>
          <w:p>
            <w:pPr>
              <w:pStyle w:val="Normal"/>
              <w:widowControl w:val="false"/>
              <w:ind w:left="0" w:right="0" w:hanging="0"/>
              <w:rPr>
                <w:sz w:val="20"/>
              </w:rPr>
            </w:pPr>
            <w:r>
              <w:rPr>
                <w:sz w:val="20"/>
              </w:rPr>
            </w:r>
          </w:p>
        </w:tc>
        <w:tc>
          <w:tcPr>
            <w:tcW w:w="1500" w:type="dxa"/>
            <w:gridSpan w:val="2"/>
            <w:tcBorders/>
            <w:vAlign w:val="bottom"/>
          </w:tcPr>
          <w:p>
            <w:pPr>
              <w:pStyle w:val="Normal"/>
              <w:widowControl w:val="false"/>
              <w:ind w:left="0" w:right="0" w:hanging="0"/>
              <w:rPr>
                <w:sz w:val="20"/>
              </w:rPr>
            </w:pPr>
            <w:r>
              <w:rPr>
                <w:sz w:val="20"/>
              </w:rPr>
            </w:r>
          </w:p>
        </w:tc>
        <w:tc>
          <w:tcPr>
            <w:tcW w:w="2461" w:type="dxa"/>
            <w:tcBorders>
              <w:top w:val="single" w:sz="8" w:space="0" w:color="000000"/>
              <w:left w:val="single" w:sz="8" w:space="0" w:color="000000"/>
              <w:right w:val="single" w:sz="8" w:space="0" w:color="000000"/>
            </w:tcBorders>
            <w:vAlign w:val="bottom"/>
          </w:tcPr>
          <w:p>
            <w:pPr>
              <w:pStyle w:val="Normal"/>
              <w:widowControl w:val="false"/>
              <w:ind w:left="0" w:right="0" w:hanging="0"/>
              <w:rPr>
                <w:sz w:val="20"/>
              </w:rPr>
            </w:pPr>
            <w:r>
              <w:rPr>
                <w:sz w:val="20"/>
              </w:rPr>
            </w:r>
          </w:p>
        </w:tc>
      </w:tr>
      <w:tr>
        <w:trPr>
          <w:trHeight w:val="195" w:hRule="atLeast"/>
        </w:trPr>
        <w:tc>
          <w:tcPr>
            <w:tcW w:w="5939" w:type="dxa"/>
            <w:gridSpan w:val="3"/>
            <w:tcBorders/>
            <w:vAlign w:val="bottom"/>
          </w:tcPr>
          <w:p>
            <w:pPr>
              <w:pStyle w:val="Normal"/>
              <w:widowControl w:val="false"/>
              <w:spacing w:lineRule="atLeast" w:line="195"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администратор источников финансирования</w:t>
            </w:r>
          </w:p>
        </w:tc>
        <w:tc>
          <w:tcPr>
            <w:tcW w:w="222" w:type="dxa"/>
            <w:tcBorders/>
            <w:vAlign w:val="bottom"/>
          </w:tcPr>
          <w:p>
            <w:pPr>
              <w:pStyle w:val="Normal"/>
              <w:widowControl w:val="false"/>
              <w:ind w:left="0" w:right="0" w:hanging="0"/>
              <w:rPr>
                <w:sz w:val="20"/>
              </w:rPr>
            </w:pPr>
            <w:r>
              <w:rPr>
                <w:sz w:val="20"/>
              </w:rPr>
            </w:r>
          </w:p>
        </w:tc>
        <w:tc>
          <w:tcPr>
            <w:tcW w:w="1500" w:type="dxa"/>
            <w:gridSpan w:val="2"/>
            <w:tcBorders/>
            <w:vAlign w:val="bottom"/>
          </w:tcPr>
          <w:p>
            <w:pPr>
              <w:pStyle w:val="Normal"/>
              <w:widowControl w:val="false"/>
              <w:ind w:left="0" w:right="0" w:hanging="0"/>
              <w:rPr>
                <w:sz w:val="20"/>
              </w:rPr>
            </w:pPr>
            <w:r>
              <w:rPr>
                <w:sz w:val="20"/>
              </w:rPr>
            </w:r>
          </w:p>
        </w:tc>
        <w:tc>
          <w:tcPr>
            <w:tcW w:w="2461" w:type="dxa"/>
            <w:tcBorders>
              <w:left w:val="single" w:sz="8" w:space="0" w:color="000000"/>
              <w:right w:val="single" w:sz="8" w:space="0" w:color="000000"/>
            </w:tcBorders>
            <w:vAlign w:val="bottom"/>
          </w:tcPr>
          <w:p>
            <w:pPr>
              <w:pStyle w:val="Normal"/>
              <w:widowControl w:val="false"/>
              <w:ind w:left="0" w:right="0" w:hanging="0"/>
              <w:rPr>
                <w:sz w:val="20"/>
              </w:rPr>
            </w:pPr>
            <w:r>
              <w:rPr>
                <w:sz w:val="20"/>
              </w:rPr>
            </w:r>
          </w:p>
        </w:tc>
      </w:tr>
      <w:tr>
        <w:trPr/>
        <w:tc>
          <w:tcPr>
            <w:tcW w:w="2530" w:type="dxa"/>
            <w:tcBorders/>
            <w:vAlign w:val="bottom"/>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 xml:space="preserve">дефицита бюджета </w:t>
            </w:r>
            <w:r>
              <w:rPr>
                <w:rFonts w:eastAsia="Times New Roman" w:cs="Times New Roman" w:ascii="Times New Roman" w:hAnsi="Times New Roman"/>
                <w:sz w:val="18"/>
                <w:szCs w:val="18"/>
                <w:u w:val="single"/>
              </w:rPr>
              <w:t>УПРАВЛЕНИЕ БЛАГОУСТРОЙСТВА АДМИНИСТРАЦИИ ГОРОДА ИВАНОВА</w:t>
            </w:r>
            <w:r>
              <w:rPr>
                <w:rFonts w:eastAsia="Times New Roman" w:cs="Times New Roman" w:ascii="Times New Roman" w:hAnsi="Times New Roman"/>
                <w:sz w:val="18"/>
                <w:szCs w:val="18"/>
              </w:rPr>
              <w:t>         </w:t>
            </w:r>
          </w:p>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24"/>
                <w:szCs w:val="24"/>
              </w:rPr>
              <w:t> </w:t>
            </w:r>
          </w:p>
        </w:tc>
        <w:tc>
          <w:tcPr>
            <w:tcW w:w="2531" w:type="dxa"/>
            <w:tcBorders/>
            <w:vAlign w:val="bottom"/>
          </w:tcPr>
          <w:p>
            <w:pPr>
              <w:pStyle w:val="Normal"/>
              <w:widowControl w:val="false"/>
              <w:spacing w:before="0" w:after="0"/>
              <w:ind w:left="0" w:right="0" w:hanging="0"/>
              <w:jc w:val="right"/>
              <w:rPr>
                <w:rFonts w:ascii="Times New Roman" w:hAnsi="Times New Roman" w:eastAsia="Times New Roman" w:cs="Times New Roman"/>
                <w:sz w:val="24"/>
              </w:rPr>
            </w:pPr>
            <w:r>
              <w:rPr>
                <w:rFonts w:eastAsia="Times New Roman" w:cs="Times New Roman" w:ascii="Times New Roman" w:hAnsi="Times New Roman"/>
                <w:sz w:val="18"/>
                <w:szCs w:val="18"/>
              </w:rPr>
              <w:t>Глава по БК</w:t>
            </w:r>
          </w:p>
        </w:tc>
        <w:tc>
          <w:tcPr>
            <w:tcW w:w="5061" w:type="dxa"/>
            <w:gridSpan w:val="5"/>
            <w:tcBorders>
              <w:left w:val="single" w:sz="8" w:space="0" w:color="000000"/>
              <w:bottom w:val="single" w:sz="8" w:space="0" w:color="000000"/>
              <w:right w:val="single" w:sz="8" w:space="0" w:color="000000"/>
            </w:tcBorders>
            <w:vAlign w:val="bottom"/>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18"/>
                <w:szCs w:val="18"/>
              </w:rPr>
              <w:t>803</w:t>
            </w:r>
          </w:p>
        </w:tc>
      </w:tr>
      <w:tr>
        <w:trPr>
          <w:trHeight w:val="280" w:hRule="atLeast"/>
        </w:trPr>
        <w:tc>
          <w:tcPr>
            <w:tcW w:w="5939" w:type="dxa"/>
            <w:gridSpan w:val="3"/>
            <w:tcBorders/>
            <w:vAlign w:val="bottom"/>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 xml:space="preserve">Наименование бюджета </w:t>
            </w:r>
          </w:p>
        </w:tc>
        <w:tc>
          <w:tcPr>
            <w:tcW w:w="222" w:type="dxa"/>
            <w:tcBorders/>
            <w:vAlign w:val="bottom"/>
          </w:tcPr>
          <w:p>
            <w:pPr>
              <w:pStyle w:val="Normal"/>
              <w:widowControl w:val="false"/>
              <w:ind w:left="0" w:right="0" w:hanging="0"/>
              <w:rPr>
                <w:sz w:val="24"/>
              </w:rPr>
            </w:pPr>
            <w:r>
              <w:rPr>
                <w:sz w:val="24"/>
              </w:rPr>
            </w:r>
          </w:p>
        </w:tc>
        <w:tc>
          <w:tcPr>
            <w:tcW w:w="1500" w:type="dxa"/>
            <w:gridSpan w:val="2"/>
            <w:tcBorders/>
            <w:vAlign w:val="bottom"/>
          </w:tcPr>
          <w:p>
            <w:pPr>
              <w:pStyle w:val="Normal"/>
              <w:widowControl w:val="false"/>
              <w:ind w:left="0" w:right="0" w:hanging="0"/>
              <w:rPr>
                <w:sz w:val="24"/>
              </w:rPr>
            </w:pPr>
            <w:r>
              <w:rPr>
                <w:sz w:val="24"/>
              </w:rPr>
            </w:r>
          </w:p>
        </w:tc>
        <w:tc>
          <w:tcPr>
            <w:tcW w:w="2461" w:type="dxa"/>
            <w:tcBorders>
              <w:left w:val="single" w:sz="8" w:space="0" w:color="000000"/>
              <w:right w:val="single" w:sz="8" w:space="0" w:color="000000"/>
            </w:tcBorders>
            <w:vAlign w:val="bottom"/>
          </w:tcPr>
          <w:p>
            <w:pPr>
              <w:pStyle w:val="Normal"/>
              <w:widowControl w:val="false"/>
              <w:ind w:left="0" w:right="0" w:hanging="0"/>
              <w:rPr>
                <w:sz w:val="24"/>
              </w:rPr>
            </w:pPr>
            <w:r>
              <w:rPr>
                <w:sz w:val="24"/>
              </w:rPr>
            </w:r>
          </w:p>
        </w:tc>
      </w:tr>
      <w:tr>
        <w:trPr>
          <w:trHeight w:val="210" w:hRule="atLeast"/>
        </w:trPr>
        <w:tc>
          <w:tcPr>
            <w:tcW w:w="2530" w:type="dxa"/>
            <w:tcBorders/>
            <w:vAlign w:val="bottom"/>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 xml:space="preserve">(публично-правового образования) </w:t>
            </w:r>
            <w:r>
              <w:rPr>
                <w:rFonts w:eastAsia="Times New Roman" w:cs="Times New Roman" w:ascii="Times New Roman" w:hAnsi="Times New Roman"/>
                <w:sz w:val="18"/>
                <w:szCs w:val="18"/>
                <w:u w:val="single"/>
              </w:rPr>
              <w:t>Бюджет города Иванова</w:t>
            </w:r>
            <w:r>
              <w:rPr>
                <w:rFonts w:eastAsia="Times New Roman" w:cs="Times New Roman" w:ascii="Times New Roman" w:hAnsi="Times New Roman"/>
                <w:sz w:val="18"/>
                <w:szCs w:val="18"/>
              </w:rPr>
              <w:t xml:space="preserve"> </w:t>
            </w:r>
          </w:p>
          <w:p>
            <w:pPr>
              <w:pStyle w:val="Normal"/>
              <w:widowControl w:val="false"/>
              <w:spacing w:lineRule="atLeast" w:line="210"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 xml:space="preserve">   </w:t>
            </w:r>
          </w:p>
        </w:tc>
        <w:tc>
          <w:tcPr>
            <w:tcW w:w="2531" w:type="dxa"/>
            <w:tcBorders/>
            <w:vAlign w:val="bottom"/>
          </w:tcPr>
          <w:p>
            <w:pPr>
              <w:pStyle w:val="Normal"/>
              <w:widowControl w:val="false"/>
              <w:spacing w:lineRule="atLeast" w:line="210" w:before="0" w:after="0"/>
              <w:ind w:left="0" w:right="0" w:hanging="0"/>
              <w:jc w:val="right"/>
              <w:rPr>
                <w:rFonts w:ascii="Times New Roman" w:hAnsi="Times New Roman" w:eastAsia="Times New Roman" w:cs="Times New Roman"/>
                <w:sz w:val="24"/>
              </w:rPr>
            </w:pPr>
            <w:r>
              <w:rPr>
                <w:rFonts w:eastAsia="Times New Roman" w:cs="Times New Roman" w:ascii="Times New Roman" w:hAnsi="Times New Roman"/>
                <w:sz w:val="18"/>
                <w:szCs w:val="18"/>
              </w:rPr>
              <w:t>по ОКТМО</w:t>
            </w:r>
          </w:p>
        </w:tc>
        <w:tc>
          <w:tcPr>
            <w:tcW w:w="5061" w:type="dxa"/>
            <w:gridSpan w:val="5"/>
            <w:tcBorders>
              <w:left w:val="single" w:sz="8" w:space="0" w:color="000000"/>
              <w:right w:val="single" w:sz="8" w:space="0" w:color="000000"/>
            </w:tcBorders>
            <w:vAlign w:val="bottom"/>
          </w:tcPr>
          <w:p>
            <w:pPr>
              <w:pStyle w:val="Normal"/>
              <w:widowControl w:val="false"/>
              <w:spacing w:lineRule="atLeast" w:line="210"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15"/>
                <w:szCs w:val="15"/>
              </w:rPr>
              <w:t>24701000</w:t>
            </w:r>
          </w:p>
        </w:tc>
      </w:tr>
      <w:tr>
        <w:trPr>
          <w:trHeight w:val="315" w:hRule="atLeast"/>
        </w:trPr>
        <w:tc>
          <w:tcPr>
            <w:tcW w:w="5939" w:type="dxa"/>
            <w:gridSpan w:val="3"/>
            <w:tcBorders/>
            <w:vAlign w:val="bottom"/>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Периодичность:    месячная, квартальная, годовая</w:t>
            </w:r>
          </w:p>
        </w:tc>
        <w:tc>
          <w:tcPr>
            <w:tcW w:w="222" w:type="dxa"/>
            <w:tcBorders/>
            <w:vAlign w:val="bottom"/>
          </w:tcPr>
          <w:p>
            <w:pPr>
              <w:pStyle w:val="Normal"/>
              <w:widowControl w:val="false"/>
              <w:ind w:left="0" w:right="0" w:hanging="0"/>
              <w:rPr>
                <w:sz w:val="24"/>
              </w:rPr>
            </w:pPr>
            <w:r>
              <w:rPr>
                <w:sz w:val="24"/>
              </w:rPr>
            </w:r>
          </w:p>
        </w:tc>
        <w:tc>
          <w:tcPr>
            <w:tcW w:w="1500" w:type="dxa"/>
            <w:gridSpan w:val="2"/>
            <w:tcBorders/>
            <w:vAlign w:val="bottom"/>
          </w:tcPr>
          <w:p>
            <w:pPr>
              <w:pStyle w:val="Normal"/>
              <w:widowControl w:val="false"/>
              <w:ind w:left="0" w:right="0" w:hanging="0"/>
              <w:rPr>
                <w:sz w:val="24"/>
              </w:rPr>
            </w:pPr>
            <w:r>
              <w:rPr>
                <w:sz w:val="24"/>
              </w:rPr>
            </w:r>
          </w:p>
        </w:tc>
        <w:tc>
          <w:tcPr>
            <w:tcW w:w="2461" w:type="dxa"/>
            <w:tcBorders>
              <w:top w:val="single" w:sz="8" w:space="0" w:color="000000"/>
              <w:left w:val="single" w:sz="8" w:space="0" w:color="000000"/>
              <w:right w:val="single" w:sz="8" w:space="0" w:color="000000"/>
            </w:tcBorders>
            <w:vAlign w:val="bottom"/>
          </w:tcPr>
          <w:p>
            <w:pPr>
              <w:pStyle w:val="Normal"/>
              <w:widowControl w:val="false"/>
              <w:ind w:left="0" w:right="0" w:hanging="0"/>
              <w:rPr>
                <w:sz w:val="24"/>
              </w:rPr>
            </w:pPr>
            <w:r>
              <w:rPr>
                <w:sz w:val="24"/>
              </w:rPr>
            </w:r>
          </w:p>
        </w:tc>
      </w:tr>
      <w:tr>
        <w:trPr>
          <w:trHeight w:val="282" w:hRule="atLeast"/>
        </w:trPr>
        <w:tc>
          <w:tcPr>
            <w:tcW w:w="2530" w:type="dxa"/>
            <w:tcBorders/>
            <w:vAlign w:val="bottom"/>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18"/>
                <w:szCs w:val="18"/>
              </w:rPr>
              <w:t>Единица измерения: руб.</w:t>
            </w:r>
          </w:p>
        </w:tc>
        <w:tc>
          <w:tcPr>
            <w:tcW w:w="2531" w:type="dxa"/>
            <w:tcBorders/>
            <w:vAlign w:val="bottom"/>
          </w:tcPr>
          <w:p>
            <w:pPr>
              <w:pStyle w:val="Normal"/>
              <w:widowControl w:val="false"/>
              <w:ind w:left="0" w:right="0" w:hanging="0"/>
              <w:rPr>
                <w:sz w:val="24"/>
              </w:rPr>
            </w:pPr>
            <w:r>
              <w:rPr>
                <w:sz w:val="24"/>
              </w:rPr>
            </w:r>
          </w:p>
        </w:tc>
        <w:tc>
          <w:tcPr>
            <w:tcW w:w="2530" w:type="dxa"/>
            <w:gridSpan w:val="3"/>
            <w:tcBorders/>
            <w:vAlign w:val="bottom"/>
          </w:tcPr>
          <w:p>
            <w:pPr>
              <w:pStyle w:val="Normal"/>
              <w:widowControl w:val="false"/>
              <w:spacing w:beforeAutospacing="1" w:after="0"/>
              <w:ind w:left="0" w:right="0" w:hanging="0"/>
              <w:jc w:val="right"/>
              <w:rPr>
                <w:rFonts w:ascii="Times New Roman" w:hAnsi="Times New Roman" w:eastAsia="Times New Roman" w:cs="Times New Roman"/>
                <w:sz w:val="24"/>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по ОКЕИ</w:t>
            </w:r>
          </w:p>
        </w:tc>
        <w:tc>
          <w:tcPr>
            <w:tcW w:w="2531" w:type="dxa"/>
            <w:gridSpan w:val="2"/>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18"/>
                <w:szCs w:val="18"/>
              </w:rPr>
              <w:t>383</w:t>
            </w:r>
          </w:p>
        </w:tc>
      </w:tr>
      <w:tr>
        <w:trPr>
          <w:trHeight w:val="282" w:hRule="exact"/>
        </w:trPr>
        <w:tc>
          <w:tcPr>
            <w:tcW w:w="2530" w:type="dxa"/>
            <w:tcBorders/>
            <w:vAlign w:val="bottom"/>
          </w:tcPr>
          <w:p>
            <w:pPr>
              <w:pStyle w:val="Normal"/>
              <w:widowControl w:val="false"/>
              <w:ind w:left="0" w:right="0" w:hanging="0"/>
              <w:rPr>
                <w:sz w:val="24"/>
              </w:rPr>
            </w:pPr>
            <w:r>
              <w:rPr>
                <w:sz w:val="24"/>
              </w:rPr>
            </w:r>
          </w:p>
        </w:tc>
        <w:tc>
          <w:tcPr>
            <w:tcW w:w="2531" w:type="dxa"/>
            <w:tcBorders/>
            <w:vAlign w:val="bottom"/>
          </w:tcPr>
          <w:p>
            <w:pPr>
              <w:pStyle w:val="Normal"/>
              <w:widowControl w:val="false"/>
              <w:ind w:left="0" w:right="0" w:hanging="0"/>
              <w:rPr>
                <w:sz w:val="24"/>
              </w:rPr>
            </w:pPr>
            <w:r>
              <w:rPr>
                <w:sz w:val="24"/>
              </w:rPr>
            </w:r>
          </w:p>
        </w:tc>
        <w:tc>
          <w:tcPr>
            <w:tcW w:w="2530" w:type="dxa"/>
            <w:gridSpan w:val="3"/>
            <w:tcBorders/>
            <w:vAlign w:val="bottom"/>
          </w:tcPr>
          <w:p>
            <w:pPr>
              <w:pStyle w:val="Normal"/>
              <w:widowControl w:val="false"/>
              <w:ind w:left="0" w:right="0" w:hanging="0"/>
              <w:rPr>
                <w:sz w:val="24"/>
              </w:rPr>
            </w:pPr>
            <w:r>
              <w:rPr>
                <w:sz w:val="24"/>
              </w:rPr>
            </w:r>
          </w:p>
        </w:tc>
        <w:tc>
          <w:tcPr>
            <w:tcW w:w="2531" w:type="dxa"/>
            <w:gridSpan w:val="2"/>
            <w:tcBorders/>
            <w:vAlign w:val="bottom"/>
          </w:tcPr>
          <w:p>
            <w:pPr>
              <w:pStyle w:val="Normal"/>
              <w:widowControl w:val="false"/>
              <w:ind w:left="0" w:right="0" w:hanging="0"/>
              <w:rPr>
                <w:sz w:val="24"/>
              </w:rPr>
            </w:pPr>
            <w:r>
              <w:rPr>
                <w:sz w:val="24"/>
              </w:rPr>
            </w:r>
          </w:p>
        </w:tc>
      </w:tr>
      <w:tr>
        <w:trPr>
          <w:trHeight w:val="282" w:hRule="exact"/>
        </w:trPr>
        <w:tc>
          <w:tcPr>
            <w:tcW w:w="10122" w:type="dxa"/>
            <w:gridSpan w:val="7"/>
            <w:tcBorders/>
            <w:vAlign w:val="bottom"/>
          </w:tcPr>
          <w:p>
            <w:pPr>
              <w:pStyle w:val="Normal"/>
              <w:widowControl w:val="false"/>
              <w:ind w:left="0" w:right="0" w:hanging="0"/>
              <w:rPr>
                <w:sz w:val="24"/>
              </w:rPr>
            </w:pPr>
            <w:r>
              <w:rPr>
                <w:sz w:val="24"/>
              </w:rPr>
            </w:r>
          </w:p>
        </w:tc>
      </w:tr>
    </w:tbl>
    <w:p>
      <w:pPr>
        <w:pStyle w:val="Normal"/>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I Организационная структура субъекта бюджетной отчетности.</w:t>
      </w:r>
    </w:p>
    <w:p>
      <w:pPr>
        <w:pStyle w:val="Normal"/>
        <w:spacing w:before="0" w:after="0"/>
        <w:ind w:left="0" w:right="0" w:hanging="0"/>
        <w:jc w:val="center"/>
        <w:rPr>
          <w:color w:val="000000"/>
        </w:rPr>
      </w:pPr>
      <w:r>
        <w:rPr>
          <w:rFonts w:eastAsia="Calibri" w:cs="Calibri"/>
          <w:b w:val="false"/>
          <w:i w:val="false"/>
          <w:color w:val="000000"/>
          <w:sz w:val="22"/>
          <w:szCs w:val="22"/>
        </w:rPr>
        <w:t>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Управление благоустройства Администрации города Иванова находится по адресу: 153000, пл. Революции, д. 6, каб. 1203, тел. 32-80-83. Юридический и фактический адрес совпадают.</w:t>
      </w:r>
      <w:r>
        <w:rPr>
          <w:rFonts w:eastAsia="Calibri" w:cs="Calibri"/>
          <w:b w:val="false"/>
          <w:i w:val="false"/>
          <w:color w:val="000000"/>
          <w:sz w:val="22"/>
          <w:szCs w:val="22"/>
        </w:rPr>
        <w:t xml:space="preserve"> </w:t>
      </w:r>
      <w:r>
        <w:rPr>
          <w:rFonts w:eastAsia="Times New Roman" w:cs="Times New Roman" w:ascii="Times New Roman" w:hAnsi="Times New Roman"/>
          <w:b w:val="false"/>
          <w:i w:val="false"/>
          <w:color w:val="000000"/>
          <w:sz w:val="24"/>
          <w:szCs w:val="24"/>
        </w:rPr>
        <w:t>Управление благоустройства Администрации города Иванова состоит на учете в Инспекции Федеральной налоговой службы Российской Федерации по городу Иваново за основным государственным регистрационным номером (ОГРН) 1023700547881, с присвоением индивидуального номера налогоплательщика (ИНН) 3728023270, с кодом причины постановки на учет (КПП) 370201001.</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Управление благоустройства Администрации города Иванова зарегистрировано в Территориальном органе Пенсионного фонда Российской Федерации в качестве страхователя-организации с присвоением регистрационного номера 047-023-02-0143, в Фонде социального страхования Российской Федерации с присвоением регистрационного номера 3701000673.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Учредительный документ – Положение об Управлении благоустройства Администрации города Иванова, утвержденное решением Ивановской городской Думы от 31.05.2006 № 150 (в действующей редакции).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Управление благоустройства Администрации города Иванова является юридическим лицом, имеет самостоятельный баланс, в Финансово-казначейском управлении Администрации города Иванова открыты следующие лицевые счета: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 281.1 МП Благоустройство территорий г. Иваново, Организация функционирования автомобильных дорог;</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xml:space="preserve">011.10.281.2 МП Забота и поддержка, Субсидия организациям, оказывающим услуги по помывке в общественном отделении бань;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xml:space="preserve">011.10.281.3 Управление;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011.10.281.4 МП Благоустройство территорий г. Иваново, АП Содержание территорий общего пользования городских кладбищ;</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xml:space="preserve">011.10.281.6 МП Благоустройство территорий г. Иваново, АП Наружное освещение;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011.10.281.7 МП Благоустройство территорий г. Иваново, АП Благоустройство ТОП;</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011.10.281.8 МП Управление муниципальным имуществом, гидротехнические сооружения;</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011.10.281.9 Наказы депутатам ИОД, дороги;</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011.10.287.1 МП Благоустройство территорий г. Иванова, Банковское сопровождение контрактов;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011.10.287.2 МП Благоустройство территорий г. Иванова, Проведение экспертиз в рамках судебных разбирательств;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011.10.287.3 Административные штрафы;</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011.10.287.4 Управление благоустройства Администрации г. Иванова (наказы депутатам ИОД, содержание автомобильных дорог);</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011.10.287.5 Субсидии из областного бюджета на ремонт дорог;</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011.10.287.7 МП Благоустройство территорий г. Иванова, Капремонт и ремонт объектов уличного освещения, замена светильников;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011.10.287.8 МП Благоустройство территорий г. Иванова, Субсидии по концессионному соглашению;</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011.10.287.9 МП Благоустройство территорий г. Иванова, Интеллектуальные транспортные системы;</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011.10.463.2 Наказы  депутатам ИГД. Благоустройство;</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011.10.463.3 Наказы депутатам ИГД. Дороги;</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011.10.463.4 Исполнительные листы;</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011.10.463.5 МП Благоустройство территорий г. Иванова, Оборудование пешеходных переходов;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011.10.463.6 Резервный фонд;</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011.10.463.7 Благоустройство территории ТОС «Комсомольский»;</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011.10.463.8 Исполнительные листы;</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011.10.463.9 Благоустройство территории ТОС «Парковый»;</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011.10.466.1 МП Благоустройство территорий г. Иванова, Разработка ПСД на устройство уличного освещения;</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011.466.2 МП Благоустройство территорий  г. Иванова,  Устройство недостающего электроосвещения;</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011.10.466.3 Наказы избирателей депутатам ИОД;</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011.10.466.4 МП Благоустройство территорий г. Иванова, интеллектуальные транспортные системы (федеральный бюджет)</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011.10.466.5 МП Благоустройство территорий г. Иванова, возврат средств в рамках контрольных мероприятий;</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011.10.466.7 МП Благоустройство территорий г. Иванова. НП «БКАД»  финансовое обеспечение дорожной деятельности городская агломерация;</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011.10.466.9 Резервный фонд;</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011.10.478.1 МП Безопасный город, устройство недостающего освещения на а/д общего пользования;</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011.10.478.2 ТОС «Силикатный»: «Карманный парк «Березнячок»;</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011.10.478.3 Благоустройство общественных территорий «Зона тихого отдыха на аллее по ул. Мякишева»;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011.10.478.4 Благоустройство общественных территорий «Карманный парк «Педагогический»»;</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011.10.478.5 Устройство  недостающего электроосвещения;</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011.10.478.6 Организация функционирования автомобильных дорог общего пользования;</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011.10.478.7 Обеспечение деятельности муниципальных учреждений в сфере дорожного хозяйства и благоустройства.</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shd w:fill="FFFFFF" w:val="clear"/>
        </w:rPr>
        <w:t xml:space="preserve">Казначейский счет </w:t>
      </w:r>
      <w:r>
        <w:rPr>
          <w:rFonts w:eastAsia="Times New Roman" w:cs="Times New Roman" w:ascii="Times New Roman" w:hAnsi="Times New Roman"/>
          <w:b w:val="false"/>
          <w:i w:val="false"/>
          <w:color w:val="000000"/>
          <w:sz w:val="24"/>
          <w:szCs w:val="24"/>
        </w:rPr>
        <w:t>№ 03231643247010003300 открыт в ОТДЕЛЕНИЕ ИВАНОВО БАНКА РОССИИ.</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shd w:fill="FFFFFF" w:val="clear"/>
        </w:rPr>
        <w:t>Единый казначейский счет № 40102810645370000025 открыт в ОТДЕЛЕНИЕ ИВАНОВО БАНКА РОССИИ//УФК по Ивановской области г. Иваново.</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xml:space="preserve">011.99.281.0 Средства, поступающие во временное распоряжение.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Расчетный счет № 03231643247010003300 открыт в ОТДЕЛЕНИЕ ИВАНОВО БАНКА РОССИИ.</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xml:space="preserve">В управлении Федерального казначейства по Ивановской области открыт лицевой счет администратора доходов бюджета № 04333016530. </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shd w:fill="FFFFFF" w:val="clear"/>
        </w:rPr>
        <w:t>Единый казначейский счет (ЕКС): 40102810645370000025</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shd w:fill="FFFFFF" w:val="clear"/>
        </w:rPr>
        <w:t>Казначейский счет (КС): 03100643000000013300</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Учреждение наделено правами главного администратора доходов по следующим кодам классификации доходов бюджета города Иванова: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08 07173 01 0000 110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13 01994 04 0070 130 Прочие доходы от оказания платных услуг (работ) получателями средств бюджетов городских округов(прочие доходы от оказания платных услуг(работ));</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13 02994 04 0200 130 Прочие доходы от компенсации затрат бюджетов городских округов (прочие доходы от компенсации затрат);</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13 02994 04 0300 130 Прочие доходы от компенсации затрат бюджетов городских округов (доходы бюджета от возврата дебиторской задолженности прошлых лет);</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16 07010 04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16 11064 04 0000 140 Платежи ,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16 10062 04 0000 140 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16 10081 04 0000 140 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16 10082 04 0000 140 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16 10123 01 0041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16 10123 01 0042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16 11064 01 0000 140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17 01040 04 0000 180 Невыясненные поступления, зачисляемые в бюджеты городских округов;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17 05040 04 0150 180 Прочие неналоговые доходы бюджетов городских округов (прочие неналоговые доходы бюджета городского округа);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17 15020 04 5103 150 Инициативные платежи, зачисляемые в бюджеты городских округов (благоустройство дворовой территории ТОС «Иваново-Центр» в рамках проекта «Комфортное дворовое пространство» г. Иваново, ул. Б.Хмельницкого, д. №28, 30, 30А и 2 по ул. Футбольная));</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17 15020 04 5112 150 Инициативные платежи, зачисляемые в бюджеты городских округов (благоустройство дворовой территории ТОС «Силикатный» в рамках проекта «Карманный парк «Березнячок»» (г. Иваново, переулок Силикатный у д.44,46,53));</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17 15020 04 5114 150 Инициативные платежи, зачисляемые в бюджеты городских округов (благоустройство общественной территории в рамках проекта «Зона тихого отдыха на аллее по ул. Мякишева» (г. Иваново, ул.Мякишева));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17 15020 04 5115 150 Инициативные платежи , зачисляемые в бюджеты городских округов (благоустройство общественной территории в рамках проекта «Карманный парк «Педагогический»» (г. Иваново, пер. Педагогический, д.1));</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2 02 20216 04 0000 150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2 02 25393 04 0000 150 Межбюджетные трансферты, передаваемые бюджетам городских округов на финансовое обеспечение дорожной деятельности в рамках проекта «Безопасные и качественные автомобильные дороги»;</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2 02 45418 04 0000 150 Межбюджетные трансферты, передаваемые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2 02 49999 04 0000 150 Прочие межбюджетные трансферты, передаваемые бюджетам городских округов;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Начальник управления благоустройства Администрации города Иванова – Меньшиков Михаил Владимирович до 17.03.2022, Солодов Михаил Анатольевич с 18.03.2021 Главный бухгалтер управления благоустройства Администрации города Иванова Молькова Ирина Леонидовна с 14.01.2022 по 31.01.2022, Финогенова Анжелика Владимировна с 09.03.2022 по 21.10.2022.</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Управление благоустройства Администрации города Иванова является муниципальным казенным учреждением и создано для осуществления управленческих функций в сфере благоустройства.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Управление наделено правами юридического лица, финансовое обеспечение деятельности которого осуществляется за счет средств бюджета города Иванова на основании бюджетной сметы.</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Управление находится в прямом подчинении Главы города Иванова и его заместителя, курирующего вопросы благоустройства.</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Управление имеет печать с изображением герба города Иванова и со своим наименованием, а также иные печати, штампы и бланки, необходимые для осуществления функций управления в установленной сфере деятельности.</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Управление благоустройства Администрации города Иванова является главным распорядителем и получателем бюджетных средств, главным администратором доходов бюджета.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xml:space="preserve">Бухгалтерский учет в Управлении благоустройства Администрации города Иванова осуществляется в соответствии с Федеральным законом «О бухгалтерском учете» № 402-ФЗ от 06.12.2011г. (в действующей редакции), Бюджетным Кодексом РФ, приказами Минфина России, иными нормативно-правовыми актами, регулирующими вопросы бухгалтерского (бюджетного) учета.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xml:space="preserve">Бюджетная отчетность составляется в соответствии с положениями Федерального стандарта бухгалтерского учета, приказами Минфина России, иными нормативно-правовыми актами, регулирующими вопросы бухгалтерского (бюджетного) учета.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Содержание управления благоустройства Администрации города Иванова осуществляется за счет средств бюджета города Иванова, в пределах ассигнований, утвержденных в бюджете города Иванова.</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Имущество учреждения является муниципальной собственностью города Иванова и закреплено за ним на праве оперативного управления.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Управление благоустройства Администрации города Иванова является учредителем Муниципального бюджетного учреждения «Служба заказчика по содержанию кладбищ» от имени муниципального образования городского округа Иваново. Учреждение создано в соответствии с Постановлением Администрации города Иванова от 16 декабря 2011 года № 2923. Финансовое обеспечение выполнения муниципального задания муниципальным бюджетным учреждением осуществляется в виде предоставления субсидий из бюджета города Иванова на возмещение нормативных затрат, связанных с оказанием муниципальных услуг в соответствии с муниципальным заданием в порядке, установленном муниципальными правовыми актами и в пределах средств, предусмотренных в бюджете города Иванова на выполнение соответствующего муниципального задания главным распорядителем бюджетных средств.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Управление благоустройства Администрации города Иванова курирует Муниципальное предприятие «Городской оздоровительный центр» г. Иваново, которое оказывает услуги по помывке населения в общих отделения бань, МУП «Специализированная автобаза жилищного хозяйства города Иванова», которое оказывает услуги по очистке и уборке автомобильных дорог (до 09.11.2022).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10.11.2022 года реорганизовано МУП «Специализированная автобаза жилищного хозяйства города Иванова» путем преобразования в МКУ «Дорожное городское хозяйство». Основной целью деятельности Учреждения является дорожная деятельность в отношении  автомобильных дорог общего пользования местного значения  и элементов обустройства автомобильных дорог в границах городского округа Иваново и другие отдельные вопросы благоустройства на территории городского округа Иваново.</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Муниципальное казенное учреждение «Дорожное городское хозяйство» образовано 10.11.2022 года путем реорганизации МУП «Специализированная автобаза жилищного хозяйства города Иванова».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Основной целью деятельности Учреждения является дорожная деятельность в отношении  автомобильных дорог общего пользования местного значения  и элементов обустройства автомобильных дорог в границах городского округа Иваново и другие отдельные вопросы благоустройства на территории городского округа Иваново.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Муниципальное казенное учреждение «Дорожное городское хозяйство» находится по адресу: 153015, пл. Генерала Белова, д. 110,  тел. 23-62-72. Юридический и фактический адрес совпадают.</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Муниципальное казенное учреждение «Дорожное городское хозяйство» состоит на учете в Инспекции Федеральной налоговой службы Российской Федерации по городу Иваново за основным государственным регистрационным номером (ОГРН) 1223700009796, с присвоением индивидуального номера налогоплательщика (ИНН) 3700000435 с кодом причины постановки на учет (КПП) 370201001.</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Муниципальное казенное учреждению «Дорожное городское хозяйство» зарегистрировано в Территориальном органе Пенсионного фонда Российской Федерации в качестве страхователя-организации с присвоением регистрационного номера 047-026-097-410, в Фонде социального страхования Российской Федерации с присвоением регистрационного номера 3700008901.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shd w:fill="FFFFFF" w:val="clear"/>
        </w:rPr>
        <w:t xml:space="preserve">Учредительный документ – Устав Муниципального казенного учреждения «Дорожное городское хозяйство», утвержденное приказом управления благоустройства Администрации города Иванова от 01.11.2022 № 01-02-55.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Муниципальное казенному учреждению «Дорожное городское хозяйство» является юридическим лицом, имеет самостоятельный баланс, в Финансово-казначейском управлении Администрации города Иванова открыты следующие лицевые счета:</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rPr>
        <w:t>011.10.485.1 МКУ «Дорожное городское хозяйство» (обеспечение  деятельности учреждения)</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2"/>
          <w:szCs w:val="22"/>
        </w:rPr>
        <w:t xml:space="preserve">011.10.485.2 МКУ </w:t>
      </w:r>
      <w:r>
        <w:rPr>
          <w:rFonts w:eastAsia="Times New Roman" w:cs="Times New Roman" w:ascii="Times New Roman" w:hAnsi="Times New Roman"/>
          <w:b w:val="false"/>
          <w:i w:val="false"/>
          <w:color w:val="000000"/>
          <w:sz w:val="24"/>
          <w:szCs w:val="24"/>
        </w:rPr>
        <w:t>«</w:t>
      </w:r>
      <w:r>
        <w:rPr>
          <w:rFonts w:eastAsia="Times New Roman" w:cs="Times New Roman" w:ascii="Times New Roman" w:hAnsi="Times New Roman"/>
          <w:b w:val="false"/>
          <w:i w:val="false"/>
          <w:color w:val="000000"/>
          <w:sz w:val="22"/>
          <w:szCs w:val="22"/>
        </w:rPr>
        <w:t>Дорожное городское хозяйство</w:t>
      </w:r>
      <w:r>
        <w:rPr>
          <w:rFonts w:eastAsia="Times New Roman" w:cs="Times New Roman" w:ascii="Times New Roman" w:hAnsi="Times New Roman"/>
          <w:b w:val="false"/>
          <w:i w:val="false"/>
          <w:color w:val="000000"/>
          <w:sz w:val="24"/>
          <w:szCs w:val="24"/>
        </w:rPr>
        <w:t>»</w:t>
      </w:r>
      <w:r>
        <w:rPr>
          <w:rFonts w:eastAsia="Times New Roman" w:cs="Times New Roman" w:ascii="Times New Roman" w:hAnsi="Times New Roman"/>
          <w:b w:val="false"/>
          <w:i w:val="false"/>
          <w:color w:val="000000"/>
          <w:sz w:val="22"/>
          <w:szCs w:val="22"/>
        </w:rPr>
        <w:t xml:space="preserve"> (погашение кредиторской задолженности).</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2"/>
          <w:szCs w:val="22"/>
          <w:shd w:fill="FFFFFF" w:val="clear"/>
        </w:rPr>
        <w:t xml:space="preserve">Казначейский счет </w:t>
      </w:r>
      <w:r>
        <w:rPr>
          <w:rFonts w:eastAsia="Times New Roman" w:cs="Times New Roman" w:ascii="Times New Roman" w:hAnsi="Times New Roman"/>
          <w:b w:val="false"/>
          <w:i w:val="false"/>
          <w:color w:val="000000"/>
          <w:sz w:val="22"/>
          <w:szCs w:val="22"/>
        </w:rPr>
        <w:t>№ 03231643247010003300 открыт в ОТДЕЛЕНИЕ ИВАНОВО БАНКА РОССИИ.</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shd w:fill="FFFFFF" w:val="clear"/>
        </w:rPr>
        <w:t>Единый казначейский счет № 40102810645370000025 открыт в ОТДЕЛЕНИЕ ИВАНОВО БАНКА РОССИИ//УФК по Ивановской области г. Иваново.</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rPr>
        <w:t>В управлении Федерального казначейства по Ивановской области открыт лицевой счет администратора доходов бюджета №</w:t>
      </w:r>
      <w:r>
        <w:rPr>
          <w:rFonts w:eastAsia="Times New Roman" w:cs="Times New Roman" w:ascii="Times New Roman" w:hAnsi="Times New Roman"/>
          <w:b/>
          <w:i w:val="false"/>
          <w:color w:val="000000"/>
          <w:sz w:val="24"/>
          <w:szCs w:val="24"/>
        </w:rPr>
        <w:t xml:space="preserve"> </w:t>
      </w:r>
      <w:r>
        <w:rPr>
          <w:rFonts w:eastAsia="Times New Roman" w:cs="Times New Roman" w:ascii="Times New Roman" w:hAnsi="Times New Roman"/>
          <w:b w:val="false"/>
          <w:i w:val="false"/>
          <w:color w:val="000000"/>
          <w:sz w:val="24"/>
          <w:szCs w:val="24"/>
        </w:rPr>
        <w:t xml:space="preserve">04333206410. </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shd w:fill="FFFFFF" w:val="clear"/>
        </w:rPr>
        <w:t>Единый казначейский счет (ЕКС): 40102810645370000025</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shd w:fill="FFFFFF" w:val="clear"/>
        </w:rPr>
        <w:t>Казначейский счет (КС): 03100643000000013300</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shd w:fill="FFFFFF" w:val="clear"/>
        </w:rPr>
        <w:t xml:space="preserve">011.99.485.0 Средства, поступающие во временное распоряжение. </w:t>
      </w:r>
    </w:p>
    <w:p>
      <w:pPr>
        <w:pStyle w:val="Normal"/>
        <w:shd w:val="clear" w:fill="FFFFFF"/>
        <w:spacing w:before="0" w:after="0"/>
        <w:ind w:left="0" w:right="0" w:hanging="0"/>
        <w:jc w:val="both"/>
        <w:rPr>
          <w:color w:val="000000"/>
          <w:shd w:fill="FFFFFF" w:val="clear"/>
        </w:rPr>
      </w:pPr>
      <w:r>
        <w:rPr>
          <w:rFonts w:eastAsia="Times New Roman" w:cs="Times New Roman" w:ascii="Times New Roman" w:hAnsi="Times New Roman"/>
          <w:b w:val="false"/>
          <w:i w:val="false"/>
          <w:color w:val="000000"/>
          <w:sz w:val="24"/>
          <w:szCs w:val="24"/>
          <w:shd w:fill="FFFFFF" w:val="clear"/>
        </w:rPr>
        <w:t xml:space="preserve">В управлении Федерального казначейства по Ивановской области открыт лицевой счет администратора доходов бюджета № 04333016530. </w:t>
      </w:r>
    </w:p>
    <w:p>
      <w:pPr>
        <w:pStyle w:val="Normal"/>
        <w:shd w:val="clear" w:fill="FFFFFF"/>
        <w:spacing w:before="0" w:after="0"/>
        <w:ind w:left="0" w:right="0" w:firstLine="720"/>
        <w:jc w:val="both"/>
        <w:rPr>
          <w:color w:val="000000"/>
          <w:shd w:fill="FFFFFF" w:val="clear"/>
        </w:rPr>
      </w:pPr>
      <w:r>
        <w:rPr>
          <w:rFonts w:eastAsia="Times New Roman" w:cs="Times New Roman" w:ascii="Times New Roman" w:hAnsi="Times New Roman"/>
          <w:b w:val="false"/>
          <w:i w:val="false"/>
          <w:color w:val="000000"/>
          <w:sz w:val="24"/>
          <w:szCs w:val="24"/>
        </w:rPr>
        <w:t>МКУ наделено правами администратора доходов по следующим кодам классификации доходов бюджета города Иванова: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13 01994 04 0070 130 Прочие доходы от оказания платных услуг (работ) получателями средств бюджетов городских округов (прочие доходы от оказания платных услуг (работ))</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13 02064 04 0000 130 Доходы, поступающие в порядке возмещения расходов, понесенных в связи с эксплуатацией имущества городских округов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xml:space="preserve">803 1 13 02994 04 0200 130 Прочие доходы от компенсации затрат бюджетов городских округов (прочие доходы от компенсации затрат) Прочие доходы от компенсации затрат бюджетов городских округов (прочие доходы от компенсации затрат)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13 02994 04 0300 130 Прочие доходы от компенсации затрат бюджетов городских округов (доходы бюджета от возврата дебиторской задолженности прошлых лет)</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16 07010 04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17 01040 04 0000 180 Невыясненные поступления, зачисляемые в бюджеты городских округов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803 1 17 05040 04 0150 180 Прочие неналоговые доходы бюджетов городских округов (прочие неналоговые доходы бюджета городского округа)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2"/>
          <w:szCs w:val="22"/>
        </w:rPr>
        <w:t>Руководитель: Соколов Сергей Александрович.</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2"/>
          <w:szCs w:val="22"/>
        </w:rPr>
        <w:t>Главный бухгалтер: Леонова Жанна Валерьевна.</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МКУ имеет печать со своим наименованием, а также иные печати, штампы и бланки, необходимые для осуществления функций управления в установленной сфере деятельности.</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Муниципальное казенное учреждению «Дорожное городское хозяйство» является получателем бюджетных средств, администратором доходов бюджета.</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Бюджетная отчетность составляется в соответствии с положениями Федерального стандарта бухгалтерского учета, приказами Минфина России, иными нормативно-правовыми актами, регулирующими вопросы бухгалтерского (бюджетного) учета.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Содержание МКУ осуществляется за счет средств бюджета города Иванова, в пределах ассигнований, утвержденных в бюджете города Иванова.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Имущество, закрепленное на праве оперативного управления, МКУ является муниципальной собственностью города Иванова.</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w:t>
      </w:r>
    </w:p>
    <w:p>
      <w:pPr>
        <w:pStyle w:val="Normal"/>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Раздел II  Результаты деятельности субъекта бюджетной отчетности.</w:t>
      </w:r>
    </w:p>
    <w:p>
      <w:pPr>
        <w:pStyle w:val="Normal"/>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Управление благоустройства Администрации города Иванова состоит из специалистов общего назначения, 4 отдела: экономический отдел, отдел бухгалтерского учета и правового сопровождения, отдел по благоустройству, административно-техническая инспекция, отдел муниципальных закупок. </w:t>
      </w:r>
    </w:p>
    <w:p>
      <w:pPr>
        <w:pStyle w:val="Normal"/>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w:t>
      </w:r>
    </w:p>
    <w:p>
      <w:pPr>
        <w:pStyle w:val="Normal"/>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Основные перечни должностей работников МКУ :</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val="false"/>
          <w:i w:val="false"/>
          <w:color w:val="000000"/>
          <w:sz w:val="24"/>
          <w:szCs w:val="24"/>
        </w:rPr>
        <w:t xml:space="preserve">Перечень должностей работников МКУ «Дорожное городское </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val="false"/>
          <w:i w:val="false"/>
          <w:color w:val="000000"/>
          <w:sz w:val="24"/>
          <w:szCs w:val="24"/>
        </w:rPr>
        <w:t>хозяйство», относимых к административно-</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val="false"/>
          <w:i w:val="false"/>
          <w:color w:val="000000"/>
          <w:sz w:val="24"/>
          <w:szCs w:val="24"/>
        </w:rPr>
        <w:t>управленческому персоналу</w:t>
      </w:r>
    </w:p>
    <w:p>
      <w:pPr>
        <w:pStyle w:val="Normal"/>
        <w:spacing w:before="0" w:after="0"/>
        <w:ind w:left="0" w:right="0" w:hanging="0"/>
        <w:jc w:val="left"/>
        <w:rPr>
          <w:color w:val="000000"/>
        </w:rPr>
      </w:pPr>
      <w:r>
        <w:rPr>
          <w:rFonts w:eastAsia="Times New Roman" w:cs="Times New Roman" w:ascii="Times New Roman" w:hAnsi="Times New Roman"/>
          <w:b w:val="false"/>
          <w:i w:val="false"/>
          <w:color w:val="000000"/>
          <w:sz w:val="28"/>
          <w:szCs w:val="28"/>
        </w:rPr>
        <w:t> </w:t>
      </w:r>
    </w:p>
    <w:tbl>
      <w:tblPr>
        <w:tblW w:w="5000" w:type="pct"/>
        <w:jc w:val="left"/>
        <w:tblInd w:w="133" w:type="dxa"/>
        <w:tblLayout w:type="fixed"/>
        <w:tblCellMar>
          <w:top w:w="102" w:type="dxa"/>
          <w:left w:w="62" w:type="dxa"/>
          <w:bottom w:w="102" w:type="dxa"/>
          <w:right w:w="62" w:type="dxa"/>
        </w:tblCellMar>
      </w:tblPr>
      <w:tblGrid>
        <w:gridCol w:w="797"/>
        <w:gridCol w:w="4638"/>
        <w:gridCol w:w="7855"/>
      </w:tblGrid>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xml:space="preserve">№ </w:t>
            </w:r>
            <w:r>
              <w:rPr>
                <w:rFonts w:eastAsia="Times New Roman" w:cs="Times New Roman" w:ascii="Times New Roman" w:hAnsi="Times New Roman"/>
                <w:b w:val="false"/>
                <w:i w:val="false"/>
                <w:color w:val="000000"/>
                <w:sz w:val="24"/>
                <w:szCs w:val="24"/>
              </w:rPr>
              <w:t>п/п</w:t>
            </w:r>
          </w:p>
        </w:tc>
        <w:tc>
          <w:tcPr>
            <w:tcW w:w="46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Подразделение</w:t>
            </w:r>
          </w:p>
        </w:tc>
        <w:tc>
          <w:tcPr>
            <w:tcW w:w="785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Должность работника</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1.</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Управление</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Директор</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Заместитель директора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Заместитель директора по производству</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Заместитель директора по экономике и финансам</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Главный инженер</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Главный бухгалтер</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2.</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Администрация</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Заведующий канцелярией</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Секретарь</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Специалист по связям с общественностью</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1 категории</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3.</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Организационно-контрольный отдел</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организационно-контрольного отдела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Специалист 1 категории</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Специалист по безопасности дорожного движения 1 категории</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Специалист по охране труда 1 категории</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4.</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Отдел кадров</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отдела кадров</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Ведущий специалист</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Специалист</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5.</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Финансовый отдел</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Заместитель главного бухгалтера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Бухгалтер 1 категории</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6.</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Планово-экономический отдел</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планово-экономического отдела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Ведущий специалист</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7.</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Юридический отдел</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юридического отдела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Ведущий юрисконсульт</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8.</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Отдел закупок</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отдела закупок</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Ведущий специалист</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Специалист 1 категории</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9.</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Производственно-технический отдел</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производственно-технического отдела</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10.</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Административно-хозяйственный отдел</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административно-хозяйственного отдела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Заведующий складом</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11.</w:t>
            </w:r>
          </w:p>
        </w:tc>
        <w:tc>
          <w:tcPr>
            <w:tcW w:w="4638"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Отдел главного механика</w:t>
            </w:r>
          </w:p>
        </w:tc>
        <w:tc>
          <w:tcPr>
            <w:tcW w:w="78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Главный механик</w:t>
            </w:r>
          </w:p>
        </w:tc>
      </w:tr>
    </w:tbl>
    <w:p>
      <w:pPr>
        <w:pStyle w:val="Normal"/>
        <w:spacing w:before="0" w:after="0"/>
        <w:ind w:left="0" w:right="0" w:firstLine="700"/>
        <w:jc w:val="both"/>
        <w:rPr>
          <w:color w:val="000000"/>
        </w:rPr>
      </w:pPr>
      <w:r>
        <w:rPr>
          <w:rFonts w:eastAsia="Times New Roman" w:cs="Times New Roman" w:ascii="Times New Roman" w:hAnsi="Times New Roman"/>
          <w:b w:val="false"/>
          <w:i w:val="false"/>
          <w:color w:val="000000"/>
          <w:sz w:val="24"/>
          <w:szCs w:val="24"/>
        </w:rPr>
        <w:t> </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val="false"/>
          <w:i w:val="false"/>
          <w:color w:val="000000"/>
          <w:sz w:val="24"/>
          <w:szCs w:val="24"/>
        </w:rPr>
        <w:t xml:space="preserve">Перечень должностей работников МКУ «Дорожное городское </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val="false"/>
          <w:i w:val="false"/>
          <w:color w:val="000000"/>
          <w:sz w:val="24"/>
          <w:szCs w:val="24"/>
        </w:rPr>
        <w:t xml:space="preserve">хозяйство», относимых к инженерно-техническому </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val="false"/>
          <w:i w:val="false"/>
          <w:color w:val="000000"/>
          <w:sz w:val="24"/>
          <w:szCs w:val="24"/>
        </w:rPr>
        <w:t>персоналу</w:t>
      </w:r>
    </w:p>
    <w:p>
      <w:pPr>
        <w:pStyle w:val="Normal"/>
        <w:spacing w:before="0" w:after="0"/>
        <w:ind w:left="0" w:right="0" w:hanging="0"/>
        <w:jc w:val="center"/>
        <w:rPr>
          <w:color w:val="000000"/>
        </w:rPr>
      </w:pPr>
      <w:r>
        <w:rPr>
          <w:rFonts w:eastAsia="Times New Roman" w:cs="Times New Roman" w:ascii="Times New Roman" w:hAnsi="Times New Roman"/>
          <w:b/>
          <w:i w:val="false"/>
          <w:color w:val="000000"/>
          <w:sz w:val="24"/>
          <w:szCs w:val="24"/>
        </w:rPr>
        <w:t> </w:t>
      </w:r>
    </w:p>
    <w:tbl>
      <w:tblPr>
        <w:tblW w:w="5000" w:type="pct"/>
        <w:jc w:val="left"/>
        <w:tblInd w:w="133" w:type="dxa"/>
        <w:tblLayout w:type="fixed"/>
        <w:tblCellMar>
          <w:top w:w="102" w:type="dxa"/>
          <w:left w:w="62" w:type="dxa"/>
          <w:bottom w:w="102" w:type="dxa"/>
          <w:right w:w="62" w:type="dxa"/>
        </w:tblCellMar>
      </w:tblPr>
      <w:tblGrid>
        <w:gridCol w:w="797"/>
        <w:gridCol w:w="5644"/>
        <w:gridCol w:w="6849"/>
      </w:tblGrid>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xml:space="preserve">№ </w:t>
            </w:r>
            <w:r>
              <w:rPr>
                <w:rFonts w:eastAsia="Times New Roman" w:cs="Times New Roman" w:ascii="Times New Roman" w:hAnsi="Times New Roman"/>
                <w:b w:val="false"/>
                <w:i w:val="false"/>
                <w:color w:val="000000"/>
                <w:sz w:val="24"/>
                <w:szCs w:val="24"/>
              </w:rPr>
              <w:t>п/п</w:t>
            </w:r>
          </w:p>
        </w:tc>
        <w:tc>
          <w:tcPr>
            <w:tcW w:w="564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Подразделение</w:t>
            </w:r>
          </w:p>
        </w:tc>
        <w:tc>
          <w:tcPr>
            <w:tcW w:w="684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Должность работника</w:t>
            </w:r>
          </w:p>
        </w:tc>
      </w:tr>
      <w:tr>
        <w:trPr/>
        <w:tc>
          <w:tcPr>
            <w:tcW w:w="7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1.</w:t>
            </w:r>
          </w:p>
        </w:tc>
        <w:tc>
          <w:tcPr>
            <w:tcW w:w="564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Администрация</w:t>
            </w:r>
          </w:p>
        </w:tc>
        <w:tc>
          <w:tcPr>
            <w:tcW w:w="68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Инженер по охране окружающей среды (эколог) 1 категории</w:t>
            </w:r>
          </w:p>
        </w:tc>
      </w:tr>
      <w:tr>
        <w:trPr/>
        <w:tc>
          <w:tcPr>
            <w:tcW w:w="7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2.</w:t>
            </w:r>
          </w:p>
        </w:tc>
        <w:tc>
          <w:tcPr>
            <w:tcW w:w="564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Навигационно-диспетчерская служба</w:t>
            </w:r>
          </w:p>
        </w:tc>
        <w:tc>
          <w:tcPr>
            <w:tcW w:w="68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Инженер навигационно-диспетчерской службы 1 категории</w:t>
            </w:r>
          </w:p>
        </w:tc>
      </w:tr>
      <w:tr>
        <w:trPr/>
        <w:tc>
          <w:tcPr>
            <w:tcW w:w="7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3.</w:t>
            </w:r>
          </w:p>
        </w:tc>
        <w:tc>
          <w:tcPr>
            <w:tcW w:w="564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Организационно-контрольный отдел</w:t>
            </w:r>
          </w:p>
        </w:tc>
        <w:tc>
          <w:tcPr>
            <w:tcW w:w="68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Инженер по телекоммуникациям и  гражданской обороне 1 категории</w:t>
            </w:r>
          </w:p>
        </w:tc>
      </w:tr>
      <w:tr>
        <w:trPr/>
        <w:tc>
          <w:tcPr>
            <w:tcW w:w="7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4.</w:t>
            </w:r>
          </w:p>
        </w:tc>
        <w:tc>
          <w:tcPr>
            <w:tcW w:w="564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Производственно-технический отдел</w:t>
            </w:r>
          </w:p>
        </w:tc>
        <w:tc>
          <w:tcPr>
            <w:tcW w:w="68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Инженер 1 категории</w:t>
            </w:r>
          </w:p>
        </w:tc>
      </w:tr>
      <w:tr>
        <w:trPr/>
        <w:tc>
          <w:tcPr>
            <w:tcW w:w="7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5.</w:t>
            </w:r>
          </w:p>
        </w:tc>
        <w:tc>
          <w:tcPr>
            <w:tcW w:w="564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Отдел закупок</w:t>
            </w:r>
          </w:p>
        </w:tc>
        <w:tc>
          <w:tcPr>
            <w:tcW w:w="68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Инженер по снабжению</w:t>
            </w:r>
          </w:p>
        </w:tc>
      </w:tr>
      <w:tr>
        <w:trPr/>
        <w:tc>
          <w:tcPr>
            <w:tcW w:w="7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6.</w:t>
            </w:r>
          </w:p>
        </w:tc>
        <w:tc>
          <w:tcPr>
            <w:tcW w:w="564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Административно-хозяйственный отдел</w:t>
            </w:r>
          </w:p>
        </w:tc>
        <w:tc>
          <w:tcPr>
            <w:tcW w:w="68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Инженер-энергетик 1 категории</w:t>
            </w:r>
          </w:p>
        </w:tc>
      </w:tr>
      <w:tr>
        <w:trPr/>
        <w:tc>
          <w:tcPr>
            <w:tcW w:w="7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7.</w:t>
            </w:r>
          </w:p>
        </w:tc>
        <w:tc>
          <w:tcPr>
            <w:tcW w:w="564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Отдел главного механика</w:t>
            </w:r>
          </w:p>
        </w:tc>
        <w:tc>
          <w:tcPr>
            <w:tcW w:w="68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Старший механик</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гаража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Мастер по ремонту транспорта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Старший мастер ремонтных мастерских</w:t>
            </w:r>
          </w:p>
        </w:tc>
      </w:tr>
      <w:tr>
        <w:trPr/>
        <w:tc>
          <w:tcPr>
            <w:tcW w:w="7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8.</w:t>
            </w:r>
          </w:p>
        </w:tc>
        <w:tc>
          <w:tcPr>
            <w:tcW w:w="564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Служба по механизированной уборке</w:t>
            </w:r>
          </w:p>
        </w:tc>
        <w:tc>
          <w:tcPr>
            <w:tcW w:w="68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службы по механизированной уборке</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Старший мастер</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Мастер</w:t>
            </w:r>
          </w:p>
        </w:tc>
      </w:tr>
      <w:tr>
        <w:trPr/>
        <w:tc>
          <w:tcPr>
            <w:tcW w:w="7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9.</w:t>
            </w:r>
          </w:p>
        </w:tc>
        <w:tc>
          <w:tcPr>
            <w:tcW w:w="564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Служба дорожных работ</w:t>
            </w:r>
          </w:p>
        </w:tc>
        <w:tc>
          <w:tcPr>
            <w:tcW w:w="68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службы дорожных работ</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асфальтобетонного завода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Мастер</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Производитель работ (прораб)</w:t>
            </w:r>
          </w:p>
        </w:tc>
      </w:tr>
      <w:tr>
        <w:trPr/>
        <w:tc>
          <w:tcPr>
            <w:tcW w:w="7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10.</w:t>
            </w:r>
          </w:p>
        </w:tc>
        <w:tc>
          <w:tcPr>
            <w:tcW w:w="564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Участок по эксплуатации ГТС</w:t>
            </w:r>
          </w:p>
        </w:tc>
        <w:tc>
          <w:tcPr>
            <w:tcW w:w="684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Инженер по эксплуатации ГТС</w:t>
            </w:r>
          </w:p>
        </w:tc>
      </w:tr>
    </w:tbl>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i w:val="false"/>
          <w:color w:val="000000"/>
          <w:sz w:val="24"/>
          <w:szCs w:val="24"/>
        </w:rPr>
        <w:t> </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val="false"/>
          <w:i w:val="false"/>
          <w:color w:val="000000"/>
          <w:sz w:val="24"/>
          <w:szCs w:val="24"/>
        </w:rPr>
        <w:t xml:space="preserve">Перечень должностей работников МКУ «Дорожное городское </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val="false"/>
          <w:i w:val="false"/>
          <w:color w:val="000000"/>
          <w:sz w:val="24"/>
          <w:szCs w:val="24"/>
        </w:rPr>
        <w:t>хозяйство», относимых к основному персоналу</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i w:val="false"/>
          <w:color w:val="000000"/>
          <w:sz w:val="24"/>
          <w:szCs w:val="24"/>
        </w:rPr>
        <w:t> </w:t>
      </w:r>
    </w:p>
    <w:tbl>
      <w:tblPr>
        <w:tblW w:w="5000" w:type="pct"/>
        <w:jc w:val="left"/>
        <w:tblInd w:w="133" w:type="dxa"/>
        <w:tblLayout w:type="fixed"/>
        <w:tblCellMar>
          <w:top w:w="102" w:type="dxa"/>
          <w:left w:w="62" w:type="dxa"/>
          <w:bottom w:w="102" w:type="dxa"/>
          <w:right w:w="62" w:type="dxa"/>
        </w:tblCellMar>
      </w:tblPr>
      <w:tblGrid>
        <w:gridCol w:w="797"/>
        <w:gridCol w:w="3632"/>
        <w:gridCol w:w="8861"/>
      </w:tblGrid>
      <w:tr>
        <w:trPr>
          <w:trHeight w:val="513" w:hRule="atLeast"/>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xml:space="preserve">№ </w:t>
            </w:r>
            <w:r>
              <w:rPr>
                <w:rFonts w:eastAsia="Times New Roman" w:cs="Times New Roman" w:ascii="Times New Roman" w:hAnsi="Times New Roman"/>
                <w:b w:val="false"/>
                <w:i w:val="false"/>
                <w:color w:val="000000"/>
                <w:sz w:val="24"/>
                <w:szCs w:val="24"/>
              </w:rPr>
              <w:t>п/п</w:t>
            </w:r>
          </w:p>
        </w:tc>
        <w:tc>
          <w:tcPr>
            <w:tcW w:w="363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Подразделение</w:t>
            </w:r>
          </w:p>
        </w:tc>
        <w:tc>
          <w:tcPr>
            <w:tcW w:w="886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Профессия работника</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1.</w:t>
            </w:r>
          </w:p>
        </w:tc>
        <w:tc>
          <w:tcPr>
            <w:tcW w:w="363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Служба по механизированной уборке</w:t>
            </w:r>
          </w:p>
        </w:tc>
        <w:tc>
          <w:tcPr>
            <w:tcW w:w="886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Водитель автомобиля 4,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комбинированной дорожной машины</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экскаватора-погрузчика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погрузочной машины 4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автогрейдера 6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фронтального погрузчика 5, 6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Тракторист 4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Грузчик</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Подсобный рабочий</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2.</w:t>
            </w:r>
          </w:p>
        </w:tc>
        <w:tc>
          <w:tcPr>
            <w:tcW w:w="363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Служба дорожных работ</w:t>
            </w:r>
          </w:p>
        </w:tc>
        <w:tc>
          <w:tcPr>
            <w:tcW w:w="886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Водитель автомобиля 4,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фрезы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катка 4,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асфальтоукладчика 6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Дорожный рабочий 2, 3, 4 разряда</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3.</w:t>
            </w:r>
          </w:p>
        </w:tc>
        <w:tc>
          <w:tcPr>
            <w:tcW w:w="363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Асфальтобетонный завод</w:t>
            </w:r>
          </w:p>
        </w:tc>
        <w:tc>
          <w:tcPr>
            <w:tcW w:w="886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смесителя (оператор)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Помощник машиниста смесителя (оператора)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4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фронтального погрузчика 5 разряда</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4.</w:t>
            </w:r>
          </w:p>
        </w:tc>
        <w:tc>
          <w:tcPr>
            <w:tcW w:w="363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Снежная свалка</w:t>
            </w:r>
          </w:p>
        </w:tc>
        <w:tc>
          <w:tcPr>
            <w:tcW w:w="886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бульдозера 6 разряда</w:t>
            </w:r>
          </w:p>
        </w:tc>
      </w:tr>
      <w:tr>
        <w:trPr/>
        <w:tc>
          <w:tcPr>
            <w:tcW w:w="7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5.</w:t>
            </w:r>
          </w:p>
        </w:tc>
        <w:tc>
          <w:tcPr>
            <w:tcW w:w="363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Участок по эксплуатации ГТС</w:t>
            </w:r>
          </w:p>
        </w:tc>
        <w:tc>
          <w:tcPr>
            <w:tcW w:w="886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Подсобный рабочий</w:t>
            </w:r>
          </w:p>
        </w:tc>
      </w:tr>
    </w:tbl>
    <w:p>
      <w:pPr>
        <w:pStyle w:val="Normal"/>
        <w:numPr>
          <w:ilvl w:val="0"/>
          <w:numId w:val="0"/>
        </w:numPr>
        <w:spacing w:before="0" w:after="0"/>
        <w:ind w:left="0" w:right="0" w:firstLine="700"/>
        <w:jc w:val="center"/>
        <w:outlineLvl w:val="2"/>
        <w:rPr>
          <w:b/>
          <w:color w:val="000000"/>
          <w:sz w:val="27"/>
        </w:rPr>
      </w:pPr>
      <w:r>
        <w:rPr>
          <w:rFonts w:eastAsia="Times New Roman" w:cs="Times New Roman" w:ascii="Times New Roman" w:hAnsi="Times New Roman"/>
          <w:b/>
          <w:i w:val="false"/>
          <w:color w:val="000000"/>
          <w:sz w:val="24"/>
          <w:szCs w:val="24"/>
        </w:rPr>
        <w:t> </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val="false"/>
          <w:i w:val="false"/>
          <w:color w:val="000000"/>
          <w:sz w:val="24"/>
          <w:szCs w:val="24"/>
        </w:rPr>
        <w:t xml:space="preserve">Перечень должностей работников МКУ «Дорожное городское </w:t>
      </w:r>
    </w:p>
    <w:p>
      <w:pPr>
        <w:pStyle w:val="Normal"/>
        <w:numPr>
          <w:ilvl w:val="0"/>
          <w:numId w:val="0"/>
        </w:numPr>
        <w:spacing w:before="0" w:after="0"/>
        <w:ind w:left="0" w:right="0" w:hanging="0"/>
        <w:jc w:val="center"/>
        <w:outlineLvl w:val="2"/>
        <w:rPr>
          <w:b/>
          <w:color w:val="000000"/>
          <w:sz w:val="27"/>
        </w:rPr>
      </w:pPr>
      <w:r>
        <w:rPr>
          <w:rFonts w:eastAsia="Times New Roman" w:cs="Times New Roman" w:ascii="Times New Roman" w:hAnsi="Times New Roman"/>
          <w:b w:val="false"/>
          <w:i w:val="false"/>
          <w:color w:val="000000"/>
          <w:sz w:val="24"/>
          <w:szCs w:val="24"/>
        </w:rPr>
        <w:t>хозяйство», относимых к вспомогательному персоналу</w:t>
      </w:r>
    </w:p>
    <w:p>
      <w:pPr>
        <w:pStyle w:val="Normal"/>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w:t>
      </w:r>
    </w:p>
    <w:tbl>
      <w:tblPr>
        <w:tblW w:w="5000" w:type="pct"/>
        <w:jc w:val="left"/>
        <w:tblInd w:w="133" w:type="dxa"/>
        <w:tblLayout w:type="fixed"/>
        <w:tblCellMar>
          <w:top w:w="102" w:type="dxa"/>
          <w:left w:w="62" w:type="dxa"/>
          <w:bottom w:w="102" w:type="dxa"/>
          <w:right w:w="62" w:type="dxa"/>
        </w:tblCellMar>
      </w:tblPr>
      <w:tblGrid>
        <w:gridCol w:w="877"/>
        <w:gridCol w:w="3953"/>
        <w:gridCol w:w="8460"/>
      </w:tblGrid>
      <w:tr>
        <w:trPr/>
        <w:tc>
          <w:tcPr>
            <w:tcW w:w="8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xml:space="preserve">№ </w:t>
            </w:r>
            <w:r>
              <w:rPr>
                <w:rFonts w:eastAsia="Times New Roman" w:cs="Times New Roman" w:ascii="Times New Roman" w:hAnsi="Times New Roman"/>
                <w:b w:val="false"/>
                <w:i w:val="false"/>
                <w:color w:val="000000"/>
                <w:sz w:val="24"/>
                <w:szCs w:val="24"/>
              </w:rPr>
              <w:t>п/п</w:t>
            </w:r>
          </w:p>
        </w:tc>
        <w:tc>
          <w:tcPr>
            <w:tcW w:w="39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Подразделение</w:t>
            </w:r>
          </w:p>
        </w:tc>
        <w:tc>
          <w:tcPr>
            <w:tcW w:w="84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Профессия работника</w:t>
            </w:r>
          </w:p>
        </w:tc>
      </w:tr>
      <w:tr>
        <w:trPr/>
        <w:tc>
          <w:tcPr>
            <w:tcW w:w="8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1.</w:t>
            </w:r>
          </w:p>
        </w:tc>
        <w:tc>
          <w:tcPr>
            <w:tcW w:w="39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Организационно-контрольный отдел</w:t>
            </w:r>
          </w:p>
        </w:tc>
        <w:tc>
          <w:tcPr>
            <w:tcW w:w="84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Инспектор по проведению профилактических осмотров автомототранспортных средств</w:t>
            </w:r>
          </w:p>
        </w:tc>
      </w:tr>
      <w:tr>
        <w:trPr/>
        <w:tc>
          <w:tcPr>
            <w:tcW w:w="8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2.</w:t>
            </w:r>
          </w:p>
        </w:tc>
        <w:tc>
          <w:tcPr>
            <w:tcW w:w="39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Административно-хозяйственный отдел</w:t>
            </w:r>
          </w:p>
        </w:tc>
        <w:tc>
          <w:tcPr>
            <w:tcW w:w="84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Кладовщик</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Уборщик производственных  (служебных) помещений</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Монтажник санитарно-технических систем и оборудования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Электромонтер по ремонту и обслуживанию электрооборудования 4,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Плотник 4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по стирке и ремонту спецодежды</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Стропальщик 4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Маляр-штукатур 4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Оператор котельной</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Рабочий по комплексному обслуживанию зданий и сооружений</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Электрогазосварщик 4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Слесарь-ремонтник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Подсобный рабочий</w:t>
            </w:r>
          </w:p>
        </w:tc>
      </w:tr>
      <w:tr>
        <w:trPr/>
        <w:tc>
          <w:tcPr>
            <w:tcW w:w="8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3.</w:t>
            </w:r>
          </w:p>
        </w:tc>
        <w:tc>
          <w:tcPr>
            <w:tcW w:w="39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Отдел главного механика</w:t>
            </w:r>
          </w:p>
        </w:tc>
        <w:tc>
          <w:tcPr>
            <w:tcW w:w="84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Аккумуляторщик 4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Слесарь инструментальщик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Слесарь по топливной аппаратуре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Слесарь по ремонту автомобилей, дорожно-строительных машин и тракторов 4, 5, 6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Электрогазосварщик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Грузчик</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моечной машины</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Токарь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Фрезеровщик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Водитель автомобиля 4,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крана автомобильного 6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автовышки 5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Водитель автобуса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Контролер технического состояния</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автомототранспортных средств</w:t>
            </w:r>
          </w:p>
        </w:tc>
      </w:tr>
      <w:tr>
        <w:trPr>
          <w:trHeight w:val="591" w:hRule="atLeast"/>
        </w:trPr>
        <w:tc>
          <w:tcPr>
            <w:tcW w:w="8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4.</w:t>
            </w:r>
          </w:p>
        </w:tc>
        <w:tc>
          <w:tcPr>
            <w:tcW w:w="39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Асфальтобетонный завод</w:t>
            </w:r>
          </w:p>
        </w:tc>
        <w:tc>
          <w:tcPr>
            <w:tcW w:w="84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Слесарь по обслуживанию и ремонту оборудования 4 разряда</w:t>
            </w:r>
          </w:p>
        </w:tc>
      </w:tr>
      <w:tr>
        <w:trPr>
          <w:trHeight w:val="817" w:hRule="atLeast"/>
        </w:trPr>
        <w:tc>
          <w:tcPr>
            <w:tcW w:w="8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5.</w:t>
            </w:r>
          </w:p>
        </w:tc>
        <w:tc>
          <w:tcPr>
            <w:tcW w:w="39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Участок по заготовке, хранению и отпуску ПГМ</w:t>
            </w:r>
          </w:p>
        </w:tc>
        <w:tc>
          <w:tcPr>
            <w:tcW w:w="84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Начальник участка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Кладовщик</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Оператор заправочной станции</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Машинист крана автомобильного 6 разряда</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Стропальщик</w:t>
            </w:r>
          </w:p>
        </w:tc>
      </w:tr>
      <w:tr>
        <w:trPr/>
        <w:tc>
          <w:tcPr>
            <w:tcW w:w="8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6.</w:t>
            </w:r>
          </w:p>
        </w:tc>
        <w:tc>
          <w:tcPr>
            <w:tcW w:w="39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Снежная свалка</w:t>
            </w:r>
          </w:p>
        </w:tc>
        <w:tc>
          <w:tcPr>
            <w:tcW w:w="84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Сторож</w:t>
            </w:r>
          </w:p>
        </w:tc>
      </w:tr>
      <w:tr>
        <w:trPr/>
        <w:tc>
          <w:tcPr>
            <w:tcW w:w="87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7.</w:t>
            </w:r>
          </w:p>
        </w:tc>
        <w:tc>
          <w:tcPr>
            <w:tcW w:w="39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Участок по эксплуатации ГТС</w:t>
            </w:r>
          </w:p>
        </w:tc>
        <w:tc>
          <w:tcPr>
            <w:tcW w:w="84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Слесарь по обслуживанию и ремонту оборудования ГТС</w:t>
            </w:r>
          </w:p>
          <w:p>
            <w:pPr>
              <w:pStyle w:val="Normal"/>
              <w:widowControl w:val="false"/>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Водитель автомобиля 4 разряда</w:t>
            </w:r>
          </w:p>
        </w:tc>
      </w:tr>
    </w:tbl>
    <w:p>
      <w:pPr>
        <w:pStyle w:val="Normal"/>
        <w:spacing w:before="0" w:after="0"/>
        <w:ind w:left="0" w:right="0" w:firstLine="720"/>
        <w:jc w:val="both"/>
        <w:rPr>
          <w:color w:val="000000"/>
        </w:rPr>
      </w:pPr>
      <w:r>
        <w:rPr>
          <w:rFonts w:eastAsia="Calibri" w:cs="Calibri"/>
          <w:b w:val="false"/>
          <w:i w:val="false"/>
          <w:color w:val="000000"/>
          <w:sz w:val="22"/>
          <w:szCs w:val="22"/>
        </w:rPr>
        <w:t>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Бюджетный учет в Управлении благоустройства Администрации города Иванова и МКУ полностью автоматизирован. Рабочие места сотрудников включают в себя комплект средств вычислительной техники на основе персональных компьютеров со специальным программным обеспечением, позволяющим осуществлять автоматизированную обработку данных. Установлены программа CRIPTO PRO с электронной подписью для работы на единой электронной площадке, программный комплекс «Гранд - Смета», программа электронного документооборота Федерального казначейства (СУФД), программа «Клиент-Банк», программа «УРМ АС Бюджет», ежеквартальное информационное обслуживание по ценообразованию в строительстве по Ивановской области. Для бухгалтерского учета используется программа «1С: Предприятие 8.3. - Бухгалтерский учет (бюджет)», программа «1С: Предприятие - зарплата и кадры», сопровождение которого обеспечивается по договору гражданско-правового характера. Для взаимодействия с Финансово-казначейским управлением и подведомственным учреждением - получателем бюджетных средств используется программный комплекс «Свод Смарт». В целях своевременного и оперативного обмена бюджетной, налоговой и статистической отчетностью с ИФНС России по городу Иванову, с Территориальным органом федеральной службы государственной статистики по Ивановской области управление использует системы «СБИС++ электронная отчетность».</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Среднесписочная численность работников управления благоустройства Администрации города Иванова на 01.01.2022 года составила 28 человек. По состоянию на 01.01.2022 года вакантными в управлении благоустройства Администрации города Иванова являются начальник отдела бухгалтерского учета и правового сопровождения, главный бухгалтер, бухгалтер.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Среднесписочная численность работников МКУ «Дорожное городское хозяйство»  на 01.01.2023 года составила 218 человек.</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Закупка товаров, работ, услуг для нужд учреждения в 2022 году проводилась с применением норм Федерального закона от 05.04.2013 № 44-ФЗ «О контрактной системе закупок товаров, работ, услуг для обеспечения государственных и муниципальных нужд» в рамках доведенных лимитов бюджетных ассигнований.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На приобретение знаков почтовой оплаты управлением благоустройства Администрации города Иванова заключен контракт с ОСП Ивановский почтамт УФПС Ивановской области - Филиал ФГУП «Почта России» на сумму 40 800 руб. 00 коп, на франкирование письменной корреспонденции и услуги почтовой связи с ОСП Ивановский почтамт УФПС Ивановской области - Филиал ФГУП «Почта России» на сумму 30 000 руб. 00 коп.. Для обеспечения управления услугами связи заключены контракты с ПАО «Ростелеком» на сумму 90 000 руб. 00 коп., ООО «Интеркомтел» (Филиалом ООО «МТТКоннект») на сумму 11 288,40 руб. 00 коп.  На заправку картриджей заключен муниципальный контракт с ООО «Алгоритм действий» на сумму 57 264 руб. 00 коп., На сопровождение программного продукта 1С-Предприятие заключен контракт с ИП Салтыкова Валентина Геннадьевна на сумму 76 000 руб. 00 коп., с ООО «Платина» на предоставление неисключительных прав на сумму 19 773 руб. 00 коп. В отчетном периоде проведена ежегодная диспансеризация муниципальных служащих управления благоустройства Администрации города Иванова, для этих целей был заключен договор с ЧУЗ «КБ «РЖД-Медицина» г.Иваново на сумму 66 700 руб. 00 коп. Заключены контракты на услуги по сопровождению, обслуживание оргтехники, установке и настройке ПО на сумму 157 781</w:t>
      </w:r>
      <w:r>
        <w:rPr>
          <w:rFonts w:eastAsia="Calibri" w:cs="Calibri"/>
          <w:b w:val="false"/>
          <w:i w:val="false"/>
          <w:color w:val="000000"/>
          <w:sz w:val="24"/>
          <w:szCs w:val="24"/>
        </w:rPr>
        <w:t xml:space="preserve"> </w:t>
      </w:r>
      <w:r>
        <w:rPr>
          <w:rFonts w:eastAsia="Times New Roman" w:cs="Times New Roman" w:ascii="Times New Roman" w:hAnsi="Times New Roman"/>
          <w:b w:val="false"/>
          <w:i w:val="false"/>
          <w:color w:val="000000"/>
          <w:sz w:val="24"/>
          <w:szCs w:val="24"/>
        </w:rPr>
        <w:t>руб. 96 коп. На приобретение материальных запасов были заключены муниципальные контракты с ООО Группа компаний «ЮМАКС» на сумму 46 517 руб. 00 коп., ИП Баков В.Ю.на сумму 45 000 руб. 00 коп., ООО «Феникс» на сумму 40 500 руб. 00 коп.,  ООО «МААЛЕКС» на сумму 115 216 руб. 56 коп., ООО «Алгоритм действий» на сумму 4 900 руб. 00 коп., ООО «И-компьютерс» на сумму 5 000 руб. 00 коп. На приобретение неисключительных прав заключены муниципальные контракты с ООО «АртМИ», ООО «НПО Криста», ООО «Кейсистемс-Иваново», ООО «КБ-Ресурс», ООО «ГРАНД-Смета Иваново», ООО «Компания «Тензор», ООО «Вертикаль» на сумму 229 210 руб. 00 коп.  На приобретение основных средств были заключены муниципальные контракты с ООО «И-Компьютерс» на сумму 995 400 руб. 00 коп., с ИП Баков В.Ю. на сумму 89 460 руб. 00 коп., с ООО ИИТ «А-ГРИФ» на сумму 2 180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 МКУ «Дорожное городское хозяйство» услуги связи ООО «Интеркомтел» (Филиал ООО «МТТКоннект») оплачены на сумму 5 800 руб. 00 коп., услуги мобильной связи ПАО «Мегафон» оплачены на сумму 5 139 руб. 16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Услуги холодного водоснабжения и водоотведения АО «Водоканал» оплачены на сумму 65 688 руб. 62 коп. Приобретение электрической энергии (мощности) «Ивановский филиал АО ««ЭнергосбыТ Плюс» оплачены на сумму 499 562 руб. 34 коп. </w:t>
      </w:r>
    </w:p>
    <w:p>
      <w:pPr>
        <w:pStyle w:val="Normal"/>
        <w:spacing w:before="0" w:after="0"/>
        <w:ind w:left="0" w:right="0" w:hanging="0"/>
        <w:jc w:val="both"/>
        <w:rPr>
          <w:color w:val="000000"/>
        </w:rPr>
      </w:pPr>
      <w:r>
        <w:rPr>
          <w:rFonts w:eastAsia="Calibri" w:cs="Calibri"/>
          <w:b w:val="false"/>
          <w:i w:val="false"/>
          <w:color w:val="000000"/>
          <w:sz w:val="22"/>
          <w:szCs w:val="22"/>
        </w:rPr>
        <w:t> </w:t>
      </w:r>
      <w:r>
        <w:rPr>
          <w:rFonts w:eastAsia="Times New Roman" w:cs="Times New Roman" w:ascii="Times New Roman" w:hAnsi="Times New Roman"/>
          <w:b w:val="false"/>
          <w:i w:val="false"/>
          <w:color w:val="000000"/>
          <w:sz w:val="24"/>
          <w:szCs w:val="24"/>
        </w:rPr>
        <w:t>Повышение квалификации муниципальных служащих осуществляется в плановом режиме в соответствии с действующими нормативными правовыми актами.</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w:t>
      </w:r>
    </w:p>
    <w:p>
      <w:pPr>
        <w:pStyle w:val="Normal"/>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w:t>
      </w:r>
    </w:p>
    <w:p>
      <w:pPr>
        <w:pStyle w:val="Normal"/>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Раздел III Анализ отчета об исполнении субъекта бюджетной отчетности.</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Сведения об исполнении текстовых статей закона о бюджете представлены в Таблице № 3.</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Сведения об исполнении бюджета представлены в форме 0503164.</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Не исполнение показателей по расходам на исполнение судебных актов, предусматривающих обращение взыскания на средства бюджета города по денежным обязательствам муниципальных казенных учреждений в размере 774 588 руб. 50 коп. ООО «Оптимум» не была оплачена в 2022 году ввиду ограниченного периода времени с момента доведения лимитов бюджетных обязательств на данные цели (23.12.2022) и большим объемом иных расходных обязательств, подлежащих оплате до конца отчетного года. Данная задолженность будет погашена в полном объеме в январе 2023 года.</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Основная доля доходов управления благоустройства Администрации города Иванова приходится на прочие доходы от оказания платных услуг (работ) получателями средств бюджетов городских округов (доходы от выдачи разрешения (ордера) на производство работ, связанных с нарушением внешнего благоустройства) КБК 803 1 1 301994 04 0060 130 в размере 2 157 833 руб. 00 коп., в соответствии с Решением Ивановской городской Думы от 29.11.2005г. № 649.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Поступила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КБК 803 1 08 07173 01 0000 110 в размере 25 600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Поступили прочие доходы от компенсации затрат бюджетов городских округов (прочие доходы от компенсации затрат) КБК 803 1 13 02994 04 0200 130 в размере 15 000 руб. 00 коп.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Прочие доходы от компенсации затрат бюджетов городских округов (доходы бюджета от возврата дебиторской задолженности прошлых лет)  КБК 803 1 13 02994 04 0300 130 в размере 2 057 408 руб. 71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Поступили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КБК 803 1 16 0701004 0000 140 в размере 227 739 руб. 38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Поступили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КБК </w:t>
      </w:r>
      <w:r>
        <w:rPr>
          <w:rFonts w:eastAsia="Times New Roman" w:cs="Times New Roman" w:ascii="Times New Roman" w:hAnsi="Times New Roman"/>
          <w:b w:val="false"/>
          <w:i w:val="false"/>
          <w:color w:val="000000"/>
          <w:sz w:val="24"/>
          <w:szCs w:val="24"/>
          <w:shd w:fill="FFFFFF" w:val="clear"/>
        </w:rPr>
        <w:t>803 1 16 11064 01 0000 140</w:t>
      </w:r>
      <w:r>
        <w:rPr>
          <w:rFonts w:eastAsia="Times New Roman" w:cs="Times New Roman" w:ascii="Times New Roman" w:hAnsi="Times New Roman"/>
          <w:b w:val="false"/>
          <w:i w:val="false"/>
          <w:color w:val="000000"/>
          <w:sz w:val="24"/>
          <w:szCs w:val="24"/>
        </w:rPr>
        <w:t xml:space="preserve"> в размере 166 118 руб. 76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Уточнены невыясненные поступления, зачисляемые в бюджеты городских округов КБК 803 1 17 01040 04 0000 180 в размере 15 900 руб. 00 коп., поступившие в 2021г.</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Поступили инициативные платежи, зачисляемые в бюджеты городских округов (благоустройство территории ТОС «Иваново-Центр» в рамках проекта «Комфортное дворовое пространство» (г. Иваново, ул. Б. Хмельницкого, д. № 28,30,30А и №2 по ул. Футбольная)) КБК 803 1 17 15020 04 5103 150 в размере 63 586 руб. 80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Поступили инициативные платежи, зачисляемые в бюджеты городских округов (благоустройство территории ТОС «Силикатный» в рамках проекта «Карманный парк «Березнячок» (город Иваново, переулок Силикатный у д. 44, 46, 53)) КБК 803 1 17 15020 04 5112 150 в размере 67 894 руб. 10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Поступили инициативные платежи, зачисляемые в бюджеты городских округов (благоустройство общественной территории в рамках проекта «Зона тихого отдыха на аллее по ул.Мякишева» (город Иваново, ул.Мякишева)) КБК 803 1 17 15020 04 5114 150 в размере 57 900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Поступили инициативные платежи, зачисляемые в бюджеты городских округов (благоустройство общественной территории в рамках проекта «Карманный парк «Педагогический» (город Иваново, пер.Педагогический,д.1)) КБК 803 1 17 15020 04 5115 150 в размере 63 304 руб. 52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Поступили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КБК 803 2 02 20216 04 0000 150 в размере 65 641 203 руб. 75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Поступили 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 КБК 803 2 02 45393 04 0000 150 в размере 354 202 414 руб. 03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Поступили межбюджетные трансферты, передаваемые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КБК 803 2 02 45418 04 0000 150 в размере 43 956 206 руб. 49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Поступили прочие межбюджетные трансферты, передаваемые бюджетам городских округов КБК 803 2 02 49999 04 0000 150 в размере 66 227 592 руб. 30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Поступили прочие доходы от оказания платных услуг (работ) получателями средств бюджетов городских округов (прочие доходы от оказания платных услуг (работ)) в размере 75 000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Поступили прочие неналоговые доходы бюджетов городских округов (прочие неналоговые доходы бюджета городского округа) КБК 803 1 17 05040 04 0150 180 в размере 174 355 руб. 26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Не исполнение показателей по расходам на уплату исполнительских сборов в связи с неисполнением исполнительных документов в размере 100 000 руб. 00 коп. обусловлено отменой Постановлений об исполнительском сборе в судебном порядке, а также возвратом средств в сумме 50 000 руб. 00 коп. Ленинским РОСП города Иванова УФССП по Ивановской области.</w:t>
      </w:r>
    </w:p>
    <w:p>
      <w:pPr>
        <w:pStyle w:val="Normal"/>
        <w:spacing w:before="0" w:after="0"/>
        <w:ind w:left="0" w:right="0" w:firstLine="720"/>
        <w:jc w:val="both"/>
        <w:rPr>
          <w:color w:val="000000"/>
        </w:rPr>
      </w:pPr>
      <w:r>
        <w:rPr>
          <w:rFonts w:eastAsia="Calibri" w:cs="Calibri"/>
          <w:b w:val="false"/>
          <w:i w:val="false"/>
          <w:color w:val="000000"/>
          <w:sz w:val="22"/>
          <w:szCs w:val="22"/>
        </w:rPr>
        <w:t> </w:t>
      </w:r>
      <w:r>
        <w:rPr>
          <w:rFonts w:eastAsia="Times New Roman" w:cs="Times New Roman" w:ascii="Times New Roman" w:hAnsi="Times New Roman"/>
          <w:b w:val="false"/>
          <w:i w:val="false"/>
          <w:color w:val="000000"/>
          <w:sz w:val="24"/>
          <w:szCs w:val="24"/>
        </w:rPr>
        <w:t>По итогам отчетного периода исполнение бюджета управлением благоустройства Администрации города Иванова составило 89,48 % от планируемых показателей, утвержденные бюджетные ассигнования по расходам составили 1 222 459 415 руб. 47 коп., освоено 1 093 824 616 руб. 65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муниципальной программы «Благоустройство города Иванова» по аналитической подпрограмме «Организация функционирования автомобильных дорог общего назначения» произведены расходы в размере 334 477 153 руб. 29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муниципальной программы «Благоустройство города Иванова» по аналитической подпрограмме «Организация функционирования автомобильных дорог общего пользования (субсидия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произведены расходы в размере 68 862 697 руб. 77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основного мероприятия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 вызванного состоянием дорожной</w:t>
      </w:r>
      <w:r>
        <w:rPr>
          <w:rFonts w:eastAsia="Times New Roman" w:cs="Times New Roman" w:ascii="Times New Roman" w:hAnsi="Times New Roman"/>
          <w:b w:val="false"/>
          <w:i w:val="false"/>
          <w:color w:val="00A933"/>
          <w:sz w:val="24"/>
          <w:szCs w:val="24"/>
        </w:rPr>
        <w:t xml:space="preserve"> </w:t>
      </w:r>
      <w:r>
        <w:rPr>
          <w:rFonts w:eastAsia="Times New Roman" w:cs="Times New Roman" w:ascii="Times New Roman" w:hAnsi="Times New Roman"/>
          <w:b w:val="false"/>
          <w:i w:val="false"/>
          <w:color w:val="000000"/>
          <w:sz w:val="24"/>
          <w:szCs w:val="24"/>
        </w:rPr>
        <w:t>сети г. Иванова, оплата метеорологической информации для работы с судебными, правоохранительными органами и органами прокуратуры» оплачено экспертиз на сумму 112 000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основного мероприятия «Предоставление субсидии организациям для возмещения расходов на создание, реконструкцию (модернизацию), содержание и использование (эксплуатацию) диспетчерского центра (пункта) по управлению светофорными объектами и технологически связанных с ним светофорных объектов, расположенных на территории города Иванова, по концессионному соглашению» произведены расходы 18 881 496 руб. 85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 аналитической подпрограмме «Наружное освещение» произведены расходы в размере 161 261 665 руб. 11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 аналитической подпрограмме «Благоустройство территорий общего пользования» произведены расходы в размере 45 110 145 руб. 91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муниципальной программы «Содержание территорий городских кладбищ» произведены расходы в размере 17 231 640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основного мероприятия «Разработка проектно-сметной документации на устройство недостающего электроосвещения на дорогах общего пользования» произведены расходы в размере 250 000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основного мероприятия «Устройство недостающего электроосвещения на дорогах общего пользования» произведены расходы в размере 39 613 364 руб. 40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основного мероприятия «Обеспечение деятельности управления благоустройства Администрации города Иванова» произведены расходы в размере 23 353 296 руб. 15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специальной подпрограммы «Создание и развитие системы внутриведомственного и межведомственного электронного взаимодействия на муниципальном уровне» основное мероприятие «Создание и развитие системы внутриведомственного и межведомственного электронного взаимодействия на муниципальном уровне» произведены расходы в размере 390 000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муниципальной программы «Управление муниципальным имуществом» по основному мероприятию «Предоставление субсидии на возмещение затрат по организации безопасности, содержанию, эксплуатации и ремонту гидротехнических сооружений (плотин), находящихся в муниципальной собственности» в размере 6 712 985 руб. 51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муниципальной программы «Забота и поддержка», субсидия организациям, оказание услуг по помывке» в размере 9 790 736  руб. 81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Произведены расходы по Благоустройству территорий в рамках поддержки местных инициатив на сумму 5 685 849 руб. 81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Выполнение наказов избирателей депутатам Ивановской городской Думы в рамках 2 535 386 руб.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Произведены расходы по аналитической подпрограмме «Административные штрафы» оплачены штрафы в размере 3 100 000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основного мероприятия «Расходы за счет резервного фонда Администрации города Иваново» произведены расходы в размере 7 755 517 руб. 71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Произведены расходы на исполнение судебных актов, предусматривающих обращение взыскания на средства бюджета города по денежным обязательствам муниципальных казенных учреждений в размере 1 653 874 руб. 86 коп. Оплата исполнительных листов производится в соответствии с частью 5 ст. 242.5 Бюджетного кодекса Российской Федерации.</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По итогам отчетного периода исполнение бюджета МКУ составило 92,85 % от планируемых показателей, утвержденные бюджетные ассигнования по расходам составили 142 668 328 руб. 86 коп., освоено 132 473 816 руб. 99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основного мероприятия Обеспечение деятельности муниципального казенного учреждения «Дорожное городское хозяйство» произведены расходы в размере 48 112 930 руб. 75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рамках основного мероприятия «Погашение кредиторской задолженности и иных неисполненных обязательств, возникших до реорганизации муниципального казенного учреждения «Дорожное городское хозяйство»» произведены расходы 84 360 886 руб. 24 коп. (погашение кредиторской задолженности МУП САЖХ).</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Аренда за пользование имуществом (спецтехники с экипажем) оплачены ООО «ЭНКИ» на сумму 1 008 919 руб. 14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Услуги по содержанию имущества оплачены ООО «ЭНКИ» (работы по зимнему содержанию в ручную) на сумму 599 691 руб. 60 коп. ИП Балиев Али Султангамидович за работы по шиномонтажу и шиноремонту грузовых, легковых транспортных средств и другой спецтехники оплачены на сумму 54 200 руб. 00 коп. ИП Щегольков Руслан Худаверди Оглы за вывоз снега оплачены услуги на сумму 5 043 951 руб. 00 коп. Заправка и восстановление картриджей ИП Горячев Алексей Геннадьевич оплачены на сумму 20 800 руб. 00 коп. Приобретение неисключительных прав ООО «Компания «Тензор»» оплачено на сумму 3 650 руб. 00 коп.  ООО «Центр мониторинга транспорта» оплачены телематические услуги на сумму 34 400 руб. 00 коп. ООО «Ивпромэнергоремонт»  предоставление услуг контроля воздуха оплачено на сумму 75 600 руб. 00 коп. АО "Водоканал" предоставление услуг химического анализа воды оплачено на сумму  41 093 руб. 16 коп. ООО ТЦ "Ярославльгеомониторинг" услуги по отбору проб воды оплачено на сумму 68 465 руб. 40 коп. Обслуживание и обеспечение бесперебойной работы сервера оплачено Петров Сергей Николаевич на сумму 68 145 руб. 50 коп.  УФК по Ивановской области (филиал ЦЛАТИ по Ивановской области л/с 20336Ц40050) услуги по анализу проб атмосферного воздуха оплачено на сумму 145 860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отчетном году учреждением МКУ «Дорожное городское хозяйство» оплачена кредиторская задолженность МУП  САЖХ  на сумму 84 360 886 руб. 24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Начисления на выплаты по оплате труда (ПФР, ФФОМС, ФСС) МКУ «Дорожное городское хозяйство» оплачены на сумму 3 031 284 руб. 36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Работы, услуги по содержанию имущества (механизированная уборка, содержание и ремонт остановок, замена остановочных павильонов, установка и замена дорожных знаков, ремонт мостов и путепроводов, зимнее содержание тротуаров вручную, текущий ремонт дорог, содержание и ремонт ливневой канализации, ремонт кровли стен,  услуги шиномонтажа,  заправка и замена картриджей) оплачены на сумму 36 684 503 руб. 32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Прочие работы, услуги (телематические услуги, сопровождение 1С) оплачены на сумму 183 600 руб. 00 коп.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Услуги страхования (страховые полисы ОСАГО) оплачены на сумму 710 889 руб. 03 коп.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Увеличение стоимости материальных запасов (пескосоленая смесь, щебень, масло,  запасные части к автомобилям, ГСМ, аккумуляторы) оплачены на сумму 41 125  217 руб. 96 коп.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Коммунальные услуги (электрическая энергия) оплачены на сумму 409 344 руб. 78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Налоги, пошлины и сборы оплачены на сумму 2 494 983 руб. 30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Штрафы за нарушение законодательства о налогах и сборах, законодательства о страховых взносах оплачены на сумму 72 115 руб. 31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Другие экономические санкции оплачены на сумму 19  818 руб. 72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Иные выплаты текущего характера организациям оплачены на сумму 629 129 руб. 46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p>
    <w:p>
      <w:pPr>
        <w:pStyle w:val="Normal"/>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Раздел IV Анализ показателей бухгалтерской отчетности субъекта бюджетной отчетности</w:t>
      </w:r>
    </w:p>
    <w:p>
      <w:pPr>
        <w:pStyle w:val="Normal"/>
        <w:spacing w:before="0" w:after="0"/>
        <w:ind w:left="0" w:right="0" w:hanging="0"/>
        <w:jc w:val="center"/>
        <w:rPr>
          <w:color w:val="000000"/>
        </w:rPr>
      </w:pPr>
      <w:r>
        <w:rPr>
          <w:rFonts w:eastAsia="Calibri" w:cs="Calibri"/>
          <w:b w:val="false"/>
          <w:i w:val="false"/>
          <w:color w:val="000000"/>
          <w:sz w:val="22"/>
          <w:szCs w:val="22"/>
        </w:rPr>
        <w:t>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Сведения о движении нефинансовых активов представлены в ф. 0503168.</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Сведения по дебиторской и кредиторской задолженности представлены в ф. 0503169.</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Дебиторская задолженность управления:</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Дебиторская задолженность по состоянию на 01.01.2023 составляет 2 836 958 991 руб. 25 коп.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По состоянию на 01.01.2023 года имеется дебиторская задолженность по расчетам по ущербу в размере 1 320 919 руб. 09 коп., в том числе  Тропарево-Никулинское ОСП УФССП России по Москве по исполнительному листу серия ФС № 015236881 ООО «Сигнал-П» в размере 34 457 руб. 61 коп.; задолженность Черемушкинский ОСП УФССП России по Москве по исполнительному листу серия ФС № 022131453 физическое лицо (Майборода Г.Е.) за проведение судебной экспертизы в размере 63 000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Отражена задолженность по контракту за коммунальные ресурсы в размере 13 341 руб. 32 коп. ООО «Газпром межрегионгаз Иваново», Ивановский филиал АО«Энергосбыт Плюс в размере 1 114 643 руб. 44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Отражена задолженность по контракту за услуг связи ПАО «Ростелеком»  в размере 2 726 руб. 25 коп., УФПС Ивановской области - Почта России 9 743 руб. 07 коп.,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Отражена задолженность по исполнительным листам ООО «АВС» + в размере 20 915 руб. 84 коп., отражена задолженность по исполнительному листу МКУ «Дорожное городское хозяйство» в размере 24 700 руб. 00 коп., ООО «Независимая строительная компания» в размере 37 388 руб. 57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Отражена задолженность по штрафам, неустойкам,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в размере 2 501 778 руб. 86 коп. (205.41).</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расчетах по выданным авансам отражена предварительная оплата АГУ «Ивгосэкспертиза» за проверку сметной стоимости в размере 121 920 руб. 16 коп. (206.26), АО «Ивгорэлектросеть» за техническое присоединение в размере 487 656 руб. 49 коп. (206.26)., ПАО «Россети Центр и Приволжье» за техническое присоединение в размере 356  643 руб. 95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Отражена переплата по налогам в размере 3 202 руб. 22 коп. (303.06, 303.07, 303.10, 303.12).</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Отражена дебиторская задолженность по межбюджетным трансфертам в размере</w:t>
      </w:r>
      <w:r>
        <w:rPr>
          <w:rFonts w:eastAsia="Times New Roman" w:cs="Times New Roman" w:ascii="Times New Roman" w:hAnsi="Times New Roman"/>
          <w:b w:val="false"/>
          <w:i w:val="false"/>
          <w:color w:val="000000"/>
          <w:sz w:val="24"/>
          <w:szCs w:val="24"/>
          <w:shd w:fill="FFFFFF" w:val="clear"/>
        </w:rPr>
        <w:t xml:space="preserve"> 1 963 446 953 руб. 12 коп. (205.51).</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Дебиторская задолженность МКУ:</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Дебиторская задолженность по состоянию на 01.01.2023 составляет 4 483 827 руб. 36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Дебиторская задолженность по расчетам по иным доходам (утилизация мусора, услуги по содержанию дорог, услуги содержанию ливневой канализации и промывке коллектора) составляет 2 569 406 руб. 88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Отражена предварительная оплата по транспортным услугам 5 463 руб. 45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Отражена предварительная плата по прочим работам, услугам 772 450 руб. 59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Отражена предварительная оплата по страхованию договора ОСАГО составляет 94 647 руб. 19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Отражены расчеты по приобретению материальных запасов: ГСМ, инвентарь, прочие материальные запасы в размере 617 173 руб. 81 коп.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расчетах по иным доходам отражена задолженность банка КБ Акция в размере 40 569 руб. 91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Отражена переплата по налогам в размере 384 115 руб. 53 коп. (303.06, 303.07, 303.10, 303.12 авансовый платеж по налогу на имущество в размере 369 587 руб.).</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2"/>
          <w:szCs w:val="22"/>
        </w:rPr>
        <w:t>Кредиторская задолженность управления:</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Кредиторская задолженность на 01.01.2023 года составляет 998 325 руб. 27 коп. Просроченной кредиторской задолженности на 01.01.2023г. управление благоустройства Администрации города Иванова не имеет.</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за работы по исполнительному листам 774 588 руб. 50 коп. ООО «Оптимум» (302.25).</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исполнительному листам руб. 211 973,50 коп. ООО «Оптимум», ООО «Авантаж»  (302.97).</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исполнительному листам руб. 10 785,20 коп. Биганашвили Т.А.</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за работы по ремонту автодорог общего пользования в размере 0 руб. 10 коп. ООО «НСК» (302.25).</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за коммунальные услуги электрическая энергия составляет 1 006 руб. 94 коп. Ивановский филиал АО «ЭнергоСбыт Плюс» (302.23).</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в размере 104 руб. 00 коп. образовалась за счет переплаты по договору пожертвования № 3 от 19.06.2020 по КБК 20704020040000150 (205.55).</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за устройства недостающего освещения в размере 1 руб. 03 коп. Филиал ПАО «Россети Центр»- «Тверь-Энерго».</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Кредиторская задолженность МКУ:</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Кредиторская задолженность на 01.01.2023 года составляет 61 125 760 руб. 22 коп.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иным доходам в размере  8 623 руб. 00 коп. за услуги по ремонту дорог,</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заработной плате составляет 16 000 руб. 00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за услуги связи составляет  41 235 руб. 34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Задолженность за коммунальные услуги составляет 1 137 398 руб. 41 коп.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арендной плате за пользование имуществом составляет 129 191 руб. 56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работам, услугам по содержанию имущества составляет 24 760 558,84 (механизированная уборка тротуаров, уборка снега, работы по профилактике и предупреждению ЧС, техническое обслуживание и ремонт систем, фрезеровка асфальто-бетонного покрытия, очистка тротуаров, содержание ливневой канализации),</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прочим работам, услугам составляет 1 857 115 руб. 00 коп. (услуги за размещение информации в газете, услуги по обновлению программного обеспечения, услуги по охране),</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расчетам по страхованию ОСАГО составляет 15 794 руб. 15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расчетам по арендной плате за пользование земельными участками составляет 1 377 167 руб. 17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приобретению основных средств составляет  19 800 руб. 00 коп. (модем, СИП 8 портов),</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приобретению материальных запасов составляет 25 921 700 руб. 94 коп. (ГСМ, щебень, диски, щетки, битум, песок, аккумуляторные батареи, автомобильные масла),</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Задолженность по расчетам по другим экономическим санкциям составляет 515 422 руб. 50 коп.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Задолженность по расчеты по иным выплатам текущего характера организациям составляет 845 285 руб.74 коп. (задолженность управлению благоустройства Администрации города Иванова).</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shd w:fill="FFFFFF" w:val="clear"/>
        </w:rPr>
        <w:t xml:space="preserve">Управление благоустройства Администрации города Иванова и МКУ </w:t>
      </w:r>
      <w:r>
        <w:rPr>
          <w:rFonts w:eastAsia="Times New Roman" w:cs="Times New Roman" w:ascii="Times New Roman" w:hAnsi="Times New Roman"/>
          <w:b w:val="false"/>
          <w:i w:val="false"/>
          <w:color w:val="000000"/>
          <w:sz w:val="24"/>
          <w:szCs w:val="24"/>
        </w:rPr>
        <w:t xml:space="preserve">«Дорожное городское хозяйство» </w:t>
      </w:r>
      <w:r>
        <w:rPr>
          <w:rFonts w:eastAsia="Times New Roman" w:cs="Times New Roman" w:ascii="Times New Roman" w:hAnsi="Times New Roman"/>
          <w:b w:val="false"/>
          <w:i w:val="false"/>
          <w:color w:val="000000"/>
          <w:sz w:val="24"/>
          <w:szCs w:val="24"/>
          <w:shd w:fill="FFFFFF" w:val="clear"/>
        </w:rPr>
        <w:t>являются бюджетной единицей, к которым относятся органы государственной власти РФ и субъектов РФ, органы местного самоуправления, казенные учреждения, финансируемые из бюджетов всех уровней, государственные и территориальные внебюджетные фонды. Отчетность сформирована по одному сегменту.</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На отчетную дату на счете 3.201.11 «Денежные средства учреждения на лицевых счетах в органе казначейства» числится остаток средств во временном распоряжении в размере 19  920 762 руб. 37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Сведения о финансовых вложениях получателя бюджетных средств, администратора источников финансирования дефицита бюджета представлены в ф. 0503171. Финансовые вложения отражены «Непроизведенные активы» в размере - 708 705 руб. 12 коп., произведена корректировка расчетов с учреждением муниципальное бюджетное учреждение «Служба заказчика по содержанию кладбищ» разница образовалась в результате уменьшения кадастровой стоимости земельного участка.</w:t>
      </w:r>
      <w:bookmarkStart w:id="0" w:name="_dx_frag_StartFragment"/>
      <w:bookmarkEnd w:id="0"/>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В соответствии с Постановлением Администрации города Иванова № 2129 от 21.12.2022 «О предоставлении земельного участка в постоянное бессрочное  пользование» Ивановский городской комитет по управлению имуществом передал </w:t>
      </w:r>
      <w:r>
        <w:rPr>
          <w:rFonts w:eastAsia="Times New Roman" w:cs="Times New Roman" w:ascii="Times New Roman" w:hAnsi="Times New Roman"/>
          <w:b w:val="false"/>
          <w:i w:val="false"/>
          <w:color w:val="000000"/>
          <w:sz w:val="24"/>
          <w:szCs w:val="24"/>
          <w:shd w:fill="FFFFFF" w:val="clear"/>
        </w:rPr>
        <w:t xml:space="preserve">МКУ </w:t>
      </w:r>
      <w:r>
        <w:rPr>
          <w:rFonts w:eastAsia="Times New Roman" w:cs="Times New Roman" w:ascii="Times New Roman" w:hAnsi="Times New Roman"/>
          <w:b w:val="false"/>
          <w:i w:val="false"/>
          <w:color w:val="000000"/>
          <w:sz w:val="24"/>
          <w:szCs w:val="24"/>
        </w:rPr>
        <w:t>«Дорожное городское хозяйство» земельные участки на сумму 65 389 879 руб. 69 коп.</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В ф. 0503173  с кодом причины 01 Реорганизация, ликвидация изменение типа учреждения отражены данные в связи с реорганизацией МУП САЖХ в </w:t>
      </w:r>
      <w:r>
        <w:rPr>
          <w:rFonts w:eastAsia="Times New Roman" w:cs="Times New Roman" w:ascii="Times New Roman" w:hAnsi="Times New Roman"/>
          <w:b w:val="false"/>
          <w:i w:val="false"/>
          <w:color w:val="000000"/>
          <w:sz w:val="24"/>
          <w:szCs w:val="24"/>
          <w:shd w:fill="FFFFFF" w:val="clear"/>
        </w:rPr>
        <w:t xml:space="preserve">МКУ </w:t>
      </w:r>
      <w:r>
        <w:rPr>
          <w:rFonts w:eastAsia="Times New Roman" w:cs="Times New Roman" w:ascii="Times New Roman" w:hAnsi="Times New Roman"/>
          <w:b w:val="false"/>
          <w:i w:val="false"/>
          <w:color w:val="000000"/>
          <w:sz w:val="24"/>
          <w:szCs w:val="24"/>
        </w:rPr>
        <w:t>«Дорожное городское хозяйство».</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ф. 0503173 с кодом причины 03 Исправление ошибок прошлых лет (код причины 03.1 несвоевременное поступление первичных учетных документов) отражено детское игровое оборудование в сумме 2 265 159 руб. 80 коп., переданное подведомственным учреждениям Администрации города Иванова и Управления жилищно-коммунального хозяйства, а также начисленная амортизация в сумме 930 589 руб. 51 коп.</w:t>
      </w:r>
      <w:bookmarkStart w:id="1" w:name="_dx_frag_EndFragment"/>
      <w:bookmarkEnd w:id="1"/>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С кодом причины 03 Исправление ошибок прошлых лет (код причины 03.4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 отражена корректировка кредиторской задолженности за 2020 год по счету 302.25. безопасные качественные дороги.</w:t>
      </w:r>
    </w:p>
    <w:p>
      <w:pPr>
        <w:pStyle w:val="Normal"/>
        <w:spacing w:before="0" w:after="0"/>
        <w:ind w:left="0" w:right="0" w:hanging="0"/>
        <w:jc w:val="both"/>
        <w:rPr>
          <w:color w:val="000000"/>
        </w:rPr>
      </w:pPr>
      <w:r>
        <w:rPr>
          <w:rFonts w:eastAsia="Calibri" w:cs="Calibri"/>
          <w:b w:val="false"/>
          <w:i w:val="false"/>
          <w:color w:val="000000"/>
          <w:sz w:val="22"/>
          <w:szCs w:val="22"/>
        </w:rPr>
        <w:t> </w:t>
      </w:r>
    </w:p>
    <w:p>
      <w:pPr>
        <w:pStyle w:val="Normal"/>
        <w:spacing w:before="0" w:after="0"/>
        <w:ind w:left="0" w:right="0" w:hanging="0"/>
        <w:jc w:val="center"/>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Радел V Прочие вопросы деятельности субъекта бюджетной отчетности</w:t>
      </w:r>
    </w:p>
    <w:p>
      <w:pPr>
        <w:pStyle w:val="Normal"/>
        <w:spacing w:before="0" w:after="0"/>
        <w:ind w:left="0" w:right="0" w:hanging="0"/>
        <w:jc w:val="center"/>
        <w:rPr>
          <w:color w:val="000000"/>
        </w:rPr>
      </w:pPr>
      <w:r>
        <w:rPr>
          <w:rFonts w:eastAsia="Calibri" w:cs="Calibri"/>
          <w:b w:val="false"/>
          <w:i w:val="false"/>
          <w:color w:val="000000"/>
          <w:sz w:val="22"/>
          <w:szCs w:val="22"/>
        </w:rPr>
        <w:t>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отчетном периоде 2022 года деятельность управления благоустройства Администрации города Иванова была направлена на совершенствование мероприятий в области благоустройства, а также работы по направлениям и специализации сотрудников.</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целях обеспечения достоверных данных бухгалтерского учета и годовой отчетности согласно приказа от 26.12.2022 № 01-02-73 в период с 26.12.2022 по 30.12.2022 в управлении благоустройства Администрации города Иванова была проведена инвентаризация, по результатам инвентаризации расхождений не выявлено.</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МКУ проведена инвентаризация, согласно приказа, от 19.12.2022 № 412 в период с 20.12.2022 по 30.12.2022, по результатам инвентаризации расхождений не выявлено.</w:t>
      </w:r>
    </w:p>
    <w:p>
      <w:pPr>
        <w:pStyle w:val="Normal"/>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Информация  о контрольных мероприятиях в управлении благоустройства Администрации города Иванова в отчетном 2022 г.</w:t>
      </w:r>
    </w:p>
    <w:p>
      <w:pPr>
        <w:pStyle w:val="Normal"/>
        <w:spacing w:before="0" w:after="0"/>
        <w:ind w:left="0" w:right="0" w:hanging="0"/>
        <w:jc w:val="left"/>
        <w:rPr>
          <w:color w:val="000000"/>
        </w:rPr>
      </w:pPr>
      <w:r>
        <w:rPr>
          <w:rFonts w:eastAsia="Calibri" w:cs="Calibri"/>
          <w:b w:val="false"/>
          <w:i w:val="false"/>
          <w:color w:val="000000"/>
          <w:sz w:val="24"/>
          <w:szCs w:val="24"/>
        </w:rPr>
        <w:t> </w:t>
      </w:r>
      <w:r>
        <w:rPr>
          <w:rFonts w:eastAsia="Calibri" w:cs="Calibri"/>
          <w:b w:val="false"/>
          <w:i w:val="false"/>
          <w:color w:val="000000"/>
          <w:sz w:val="22"/>
          <w:szCs w:val="22"/>
        </w:rPr>
        <w:t>  </w:t>
      </w: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 xml:space="preserve">Контрольно-счетная палата Ивановской области. </w:t>
      </w:r>
    </w:p>
    <w:p>
      <w:pPr>
        <w:pStyle w:val="Normal"/>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 xml:space="preserve">Контрольное мероприятие «Проверка целевого и законного использования средств иных межбюджетных трансфертов бюджетам городских округов Ивановской области на устройство недостающего электроосвещения на автомобильных дорогах общего пользования местного значения, представленных в 2021 году и за 9 месяцев 2022 бюджету городского округа Иваново». Срок с 01.11.2022 по 22.12.2022.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Выявлены нарушения о несоблюдении требований действующего законодательства РФ по определению сметной стоимости работ по устройству недостающего электроосвещения на автомобильных дорогах общего пользования, по соблюдению Порядка применению классификации операции сектора государственного управления, о несоблюдении требований муниципальных правовых актов Администрации города Иванова по установлению в проекте муниципального контракта обязанности Подрядчика по обеспечению доступа на объекты, своевременного включения в состав местной казны города Иванова объектов муниципальной собственности, об оформлении заключений о достоверности определения сметной стоимости работ, принятие локальных актов, по предотвращению нарушений норм Федерального закона №44-ФЗ по проведению претензионной работы и направлению Подрядчику требований за нарушение сроков выполнения работ по Контракту 3189, о своевременности оплаты Подрядчику за выполненные и принятые работы и минимизации рисков по привлечению к ответственности за несвоевременность расчетов, реализации права осуществления оплаты по контракту за вычетом размера неустойки (штрафы, пени), соблюдение сроков приемки сроков выполненных работ, предоставления в УФК Ивановской области информации муниципальных контрактов.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Принятые меры по устранению причин и условий бюджетных нарушений:</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Замечания приняты, будут учтены в дальнейшей работе. По замечаниям, требующим исправление ошибок прошлых лет работа будет проведена в 2023 году.</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Служба государственного финансового контроля Ивановской области.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Контрольное мероприятие «Проверка соблюдения целей, порядка и условий предоставления из бюджета  городского округа Иваново субсидии(й) и (или) субвенции(й) и (или) иного(ых) межбюджетного(ых) трансферта(ов), имеющего(их) целевое назначение». Проверяемый период: с 01.01.2020 по 01.08.2022.</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В ходе контрольного мероприятия выявлены следующие нарушения: нарушены условия контрактов № 1778 от 14.08.2020, № 1776 от 17.08.2020, № 1943 от 31.08.2020, № 2870 от 15.12.2020, №1728 от 26.07.2021, № 2382 от 20.09.2021, № 1660 от 12.07.2021, № 440 от 02.04.2021, № 1356 от 03.07.2020, № 1743 от 07.08.2020, № 1755 от 12.08.2020, № 1541 от 20.07.2020, №1756 от 11.08.2020, №2080 от 07.09.2020 о приемке заказчиком работ по актам, не соблюдены сроки и порядок оплаты работ, не направлены требования за просрочку исполнения обязательств, не соблюдены соответствующие условия контрактов, которые провели к дополнительному расходу бюджетных средств.</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Принятые меры по устранению причин и условий бюджетных нарушений:</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Замечания приняты, будут учтены в дальнейшей работе. С сотрудниками, допустившими нарушения, проведена разъяснительная работа о недопущении нарушений норм 44-ФЗ и бюджетного законодательства РФ. Направлены  претензии подрядным организациям по выявленным нарушениям, которые  будут впоследствии, по возможности, взысканы.</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Сведения о  вложениях в объекты недвижимого имущества, незавершенного строительства представлены в ф. 0503190.</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xml:space="preserve">Сведения об исполнении судебных решений по денежным обязательствам бюджета представлены в ф. 0503296.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При проверке внутридокументных контрольных соотношений требуются пояснения:</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форма 0503169G_БК задолженность по счету 1.205.55 на сумму 104 руб. 00 коп. образовалась за счет переплаты по договору пожертвования № 3 от 19.06.2020 по КБК 20704020040000150.</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При проверке внутридокументных контрольных соотношений требуются пояснения:</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xml:space="preserve">- форма 0503130G, форма 0503168G, форма 0503169G_БД, форма 0503169G_БК сумма на начало года не соответствует сумме на конец предыдущего отчетного года данное расхождение объясняется реорганизацией МУП САЖХ в МКУ «Дорожное городское хозяйство» на основании Постановления Администрации города Иванова от 07.07.2022 № 892 «О реорганизации муниципального унитарного предприятия «Специализированная автобаза жилищного хозяйства города Иванова» путем преобразования в муниципальное казенное учреждение «Дорожное городское хозяйство». </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Увеличение: Основные средства (балансовая стоимость, 010100000): автобусы, автомобили, автокраны, автогрейдеры, администратиыное здание, асфальтоукладчик, бойлеры, бульдозеры, весы автомобильные, ВЛЭПэ, гаражи, склады, завод мобильный асфальтный, катки дорожные самоходные, комплекс для жидкого проивогололедного материалы, колонка топливораздаточная, компьютеры, компрессоры,материальный склад, КДМы, машыны подметально-уборочные, насосные, оборудование быстросьемное, пескоразбрызгиватели, печь для утилизации биоотходов,  погрузчики, полуприцепы, прицепы, сварочные аппараты, сервера, система пожарной сигнализации, склад, снегоочистители, станки, станции компрессорные, станции дизельные, тельферы, трактора, дрезы, фундамент монолитный для мобильного асфальтного завода, щеточное оборудование, эстакады. Всего 299 шт.;</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Материальные запасы (010500000): Аккумуляторы, аккумуляторные батареи, американки, амортизаторы, антифризы, арматура, баки, бампера, барабаны тормозные, батарейки, бачки расширительные, бензин, бетон тяжелый, битум, блоки, болты, бумага, валы, валенки, ведра, вентеля, вилки, винты, втулки, выключатели, гайки, гвозди, гидрометры, гидроцилиндры, глушители, головки, ГСМ, датчики, диски, жидкости, заглущки, зажимы, замки, знаки, кабеля канаты, канцтовары, картириджи, кирпичи, ключи, колеса, колодки, кольца, наконечники, насосы, плиты, запчасти к авто, сверла, трубы, цети, электродвигатели, эмаль, электроды и т.д. Всего: 84 124,193 ед.;</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Вложения в нефинансовые активы (010600000): Техническое перевооружениездания котельной;</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Расходы будущих периодов (040150000): Полисы ОСАГО;</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Дебиторская задолженность по доходам (020500000, 020900000): Задолженность за оказанные услуги: утилизация мусора, услуги по содержанию дорог, услуги содержанию ливневой канализации и промывке коллектора, обеспечение исполнения муниципальных контрактов, задолженность КБ «Акция»,</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Дебиторская задолженность по выплатам (020600000, 020800000, 030300000): Отражена предварительная оплата по транспортным услугам, по прочим работам, услугам, оплата по страхованию договора ОСАГО, расчеты по приобретению материальных запасов: ГСМ, инвентарь, прочие материальные запасы, переплата по налогам.;</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Кредиторская задолженность по выплатам (030200000, 020800000, 030402000, 030403000): Задолженность за коммунальные услуги, арендной плате за пользование имуществом, по работам, услугам по содержанию имущества (механизированная уборка тротуаров, уборка снега, работы по профилактике и предупреждению ЧС, техническое обслуживание и ремонт систем, фрезеровка асфальто-бетонного покрытия, очистка тротуаров, содержание ливневой канализации), по прочим работам, услугам составляет (услуги за размещение информации в газете, услуги по обновлению программного обеспечения, услуги по охране), по расчетам по страхованию ОСАГО, по расчетам по арендной плате за пользование земельными участками, по приобретению основных средств (модем, СИП 8 портов), по приобретению материальных запасов составляет (ГСМ, щебень, диски, щетки, битум, песок, аккумуляторные батареи, автомобильные масла), задолженность по расчетам по другим экономическим санкциям, задолженность по расчеты по иным выплатам текущего характера организациям);</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Расчеты по платежам в бюджеты (030300000): Задолженность по налогам и сборам, госпошлины;</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 </w:t>
      </w:r>
      <w:r>
        <w:rPr>
          <w:rFonts w:eastAsia="Times New Roman" w:cs="Times New Roman" w:ascii="Times New Roman" w:hAnsi="Times New Roman"/>
          <w:b w:val="false"/>
          <w:i w:val="false"/>
          <w:color w:val="000000"/>
          <w:sz w:val="24"/>
          <w:szCs w:val="24"/>
        </w:rPr>
        <w:t>Кредиторская задолженность по доходам (020500000, 020900000): Задолженность по иным доходам за услуги по ремонту дорог.</w:t>
      </w:r>
    </w:p>
    <w:p>
      <w:pPr>
        <w:pStyle w:val="Normal"/>
        <w:spacing w:before="0" w:after="0"/>
        <w:ind w:left="0" w:right="0" w:firstLine="720"/>
        <w:jc w:val="both"/>
        <w:rPr>
          <w:color w:val="000000"/>
        </w:rPr>
      </w:pPr>
      <w:r>
        <w:rPr>
          <w:rFonts w:eastAsia="Times New Roman" w:cs="Times New Roman" w:ascii="Times New Roman" w:hAnsi="Times New Roman"/>
          <w:b w:val="false"/>
          <w:i w:val="false"/>
          <w:color w:val="000000"/>
          <w:sz w:val="24"/>
          <w:szCs w:val="24"/>
        </w:rPr>
        <w:t>В соответствии с пунктом 8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действующей редакции) в связи с отсутствием числового значения в составе бюджетной отчетности главного распорядителя бюджетных средств не представлены следующие формы отчетности:</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Таблица № 6 «Сведения о проведении инвентаризации»;</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ф.0503172 «Сведения о государственном (муниципальном) долге, предоставленных бюджетных кредитах»;</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xml:space="preserve">Данные формы отчетности сформированы в программном комплексе «Свод - Смарт» с указанием отметки (статуса) «показатели отсутствуют».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w:t>
      </w:r>
    </w:p>
    <w:p>
      <w:pPr>
        <w:pStyle w:val="Normal"/>
        <w:spacing w:before="0" w:after="0"/>
        <w:ind w:left="0" w:right="0" w:hanging="0"/>
        <w:jc w:val="both"/>
        <w:rPr>
          <w:color w:val="000000"/>
        </w:rPr>
      </w:pPr>
      <w:r>
        <w:rPr>
          <w:rFonts w:eastAsia="Times New Roman" w:cs="Times New Roman" w:ascii="Times New Roman" w:hAnsi="Times New Roman"/>
          <w:b w:val="false"/>
          <w:i w:val="false"/>
          <w:color w:val="000000"/>
          <w:sz w:val="24"/>
          <w:szCs w:val="24"/>
        </w:rPr>
        <w:t> </w:t>
      </w:r>
    </w:p>
    <w:p>
      <w:pPr>
        <w:pStyle w:val="Normal"/>
        <w:spacing w:before="0" w:after="0"/>
        <w:ind w:left="0" w:right="0" w:hanging="0"/>
        <w:jc w:val="left"/>
        <w:rPr>
          <w:color w:val="000000"/>
        </w:rPr>
      </w:pPr>
      <w:r>
        <w:rPr>
          <w:rFonts w:eastAsia="Times New Roman" w:cs="Times New Roman" w:ascii="Times New Roman" w:hAnsi="Times New Roman"/>
          <w:b w:val="false"/>
          <w:i w:val="false"/>
          <w:color w:val="000000"/>
          <w:sz w:val="24"/>
          <w:szCs w:val="24"/>
        </w:rPr>
        <w:t> </w:t>
      </w:r>
    </w:p>
    <w:p>
      <w:pPr>
        <w:pStyle w:val="Normal"/>
        <w:spacing w:before="0" w:after="0"/>
        <w:ind w:left="0" w:right="0" w:hanging="0"/>
        <w:rPr/>
      </w:pPr>
      <w:r>
        <w:rPr/>
        <w:t> </w:t>
      </w:r>
    </w:p>
    <w:p>
      <w:pPr>
        <w:pStyle w:val="Normal"/>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24"/>
          <w:szCs w:val="24"/>
        </w:rPr>
        <w:t> </w:t>
      </w:r>
    </w:p>
    <w:tbl>
      <w:tblPr>
        <w:tblW w:w="9380" w:type="dxa"/>
        <w:jc w:val="left"/>
        <w:tblInd w:w="204" w:type="dxa"/>
        <w:tblLayout w:type="fixed"/>
        <w:tblCellMar>
          <w:top w:w="0" w:type="dxa"/>
          <w:left w:w="108" w:type="dxa"/>
          <w:bottom w:w="0" w:type="dxa"/>
          <w:right w:w="108" w:type="dxa"/>
        </w:tblCellMar>
      </w:tblPr>
      <w:tblGrid>
        <w:gridCol w:w="3126"/>
        <w:gridCol w:w="3127"/>
        <w:gridCol w:w="3127"/>
      </w:tblGrid>
      <w:tr>
        <w:trPr/>
        <w:tc>
          <w:tcPr>
            <w:tcW w:w="3126" w:type="dxa"/>
            <w:tcBorders/>
            <w:vAlign w:val="center"/>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20"/>
                <w:szCs w:val="20"/>
              </w:rPr>
              <w:t>Руководитель</w:t>
            </w:r>
          </w:p>
        </w:tc>
        <w:tc>
          <w:tcPr>
            <w:tcW w:w="3127" w:type="dxa"/>
            <w:tcBorders/>
            <w:vAlign w:val="center"/>
          </w:tcPr>
          <w:p>
            <w:pPr>
              <w:pStyle w:val="Normal"/>
              <w:widowControl w:val="false"/>
              <w:spacing w:before="0" w:after="0"/>
              <w:ind w:left="0" w:right="0" w:hanging="0"/>
              <w:rPr>
                <w:rFonts w:ascii="Times New Roman" w:hAnsi="Times New Roman" w:eastAsia="Times New Roman" w:cs="Times New Roman"/>
                <w:sz w:val="24"/>
              </w:rPr>
            </w:pPr>
            <w:r>
              <w:rPr/>
              <w:drawing>
                <wp:inline distT="0" distB="0" distL="0" distR="0">
                  <wp:extent cx="2857500" cy="9525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857500" cy="952500"/>
                          </a:xfrm>
                          <a:prstGeom prst="rect">
                            <a:avLst/>
                          </a:prstGeom>
                        </pic:spPr>
                      </pic:pic>
                    </a:graphicData>
                  </a:graphic>
                </wp:inline>
              </w:drawing>
            </w:r>
          </w:p>
        </w:tc>
        <w:tc>
          <w:tcPr>
            <w:tcW w:w="3127" w:type="dxa"/>
            <w:tcBorders/>
            <w:vAlign w:val="center"/>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0"/>
                <w:szCs w:val="20"/>
                <w:u w:val="single"/>
              </w:rPr>
              <w:t>Солодов Михаил Анатольевич</w:t>
            </w:r>
          </w:p>
        </w:tc>
      </w:tr>
      <w:tr>
        <w:trPr>
          <w:trHeight w:val="280" w:hRule="atLeast"/>
        </w:trPr>
        <w:tc>
          <w:tcPr>
            <w:tcW w:w="3126" w:type="dxa"/>
            <w:tcBorders/>
            <w:vAlign w:val="bottom"/>
          </w:tcPr>
          <w:p>
            <w:pPr>
              <w:pStyle w:val="Normal"/>
              <w:widowControl w:val="false"/>
              <w:ind w:left="0" w:right="0" w:hanging="0"/>
              <w:rPr>
                <w:sz w:val="24"/>
              </w:rPr>
            </w:pPr>
            <w:r>
              <w:rPr>
                <w:sz w:val="24"/>
              </w:rPr>
            </w:r>
          </w:p>
        </w:tc>
        <w:tc>
          <w:tcPr>
            <w:tcW w:w="3127" w:type="dxa"/>
            <w:tcBorders/>
            <w:vAlign w:val="center"/>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0"/>
                <w:szCs w:val="20"/>
              </w:rPr>
              <w:t>(подпись)</w:t>
            </w:r>
          </w:p>
        </w:tc>
        <w:tc>
          <w:tcPr>
            <w:tcW w:w="3127" w:type="dxa"/>
            <w:tcBorders/>
            <w:vAlign w:val="center"/>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0"/>
                <w:szCs w:val="20"/>
              </w:rPr>
              <w:t>(расшифровка подписи)</w:t>
            </w:r>
          </w:p>
        </w:tc>
      </w:tr>
      <w:tr>
        <w:trPr>
          <w:trHeight w:val="281" w:hRule="atLeast"/>
        </w:trPr>
        <w:tc>
          <w:tcPr>
            <w:tcW w:w="9380" w:type="dxa"/>
            <w:gridSpan w:val="3"/>
            <w:tcBorders/>
            <w:vAlign w:val="bottom"/>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20"/>
                <w:szCs w:val="20"/>
              </w:rPr>
              <w:t> </w:t>
            </w:r>
          </w:p>
        </w:tc>
      </w:tr>
      <w:tr>
        <w:trPr>
          <w:trHeight w:val="281" w:hRule="atLeast"/>
        </w:trPr>
        <w:tc>
          <w:tcPr>
            <w:tcW w:w="3126" w:type="dxa"/>
            <w:tcBorders/>
            <w:vAlign w:val="center"/>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20"/>
                <w:szCs w:val="20"/>
              </w:rPr>
              <w:t>Руководитель планово-</w:t>
            </w:r>
          </w:p>
        </w:tc>
        <w:tc>
          <w:tcPr>
            <w:tcW w:w="3127" w:type="dxa"/>
            <w:tcBorders/>
            <w:vAlign w:val="center"/>
          </w:tcPr>
          <w:p>
            <w:pPr>
              <w:pStyle w:val="Normal"/>
              <w:widowControl w:val="false"/>
              <w:ind w:left="0" w:right="0" w:hanging="0"/>
              <w:rPr>
                <w:sz w:val="24"/>
              </w:rPr>
            </w:pPr>
            <w:r>
              <w:rPr>
                <w:sz w:val="24"/>
              </w:rPr>
            </w:r>
          </w:p>
        </w:tc>
        <w:tc>
          <w:tcPr>
            <w:tcW w:w="3127" w:type="dxa"/>
            <w:tcBorders/>
            <w:vAlign w:val="center"/>
          </w:tcPr>
          <w:p>
            <w:pPr>
              <w:pStyle w:val="Normal"/>
              <w:widowControl w:val="false"/>
              <w:ind w:left="0" w:right="0" w:hanging="0"/>
              <w:rPr>
                <w:sz w:val="24"/>
              </w:rPr>
            </w:pPr>
            <w:r>
              <w:rPr>
                <w:sz w:val="24"/>
              </w:rPr>
            </w:r>
          </w:p>
        </w:tc>
      </w:tr>
      <w:tr>
        <w:trPr>
          <w:trHeight w:val="281" w:hRule="atLeast"/>
        </w:trPr>
        <w:tc>
          <w:tcPr>
            <w:tcW w:w="3126" w:type="dxa"/>
            <w:tcBorders/>
            <w:vAlign w:val="center"/>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20"/>
                <w:szCs w:val="20"/>
              </w:rPr>
              <w:t>экономической службы</w:t>
            </w:r>
          </w:p>
        </w:tc>
        <w:tc>
          <w:tcPr>
            <w:tcW w:w="3127" w:type="dxa"/>
            <w:tcBorders/>
            <w:vAlign w:val="center"/>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0"/>
                <w:szCs w:val="20"/>
              </w:rPr>
              <w:t>(подпись)</w:t>
            </w:r>
          </w:p>
        </w:tc>
        <w:tc>
          <w:tcPr>
            <w:tcW w:w="3127" w:type="dxa"/>
            <w:tcBorders/>
            <w:vAlign w:val="center"/>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0"/>
                <w:szCs w:val="20"/>
              </w:rPr>
              <w:t>(расшифровка подписи)</w:t>
            </w:r>
          </w:p>
        </w:tc>
      </w:tr>
      <w:tr>
        <w:trPr>
          <w:trHeight w:val="281" w:hRule="exact"/>
        </w:trPr>
        <w:tc>
          <w:tcPr>
            <w:tcW w:w="9380" w:type="dxa"/>
            <w:gridSpan w:val="3"/>
            <w:tcBorders/>
            <w:vAlign w:val="bottom"/>
          </w:tcPr>
          <w:p>
            <w:pPr>
              <w:pStyle w:val="Normal"/>
              <w:widowControl w:val="false"/>
              <w:ind w:left="0" w:right="0" w:hanging="0"/>
              <w:rPr>
                <w:sz w:val="24"/>
              </w:rPr>
            </w:pPr>
            <w:r>
              <w:rPr>
                <w:sz w:val="24"/>
              </w:rPr>
            </w:r>
          </w:p>
        </w:tc>
      </w:tr>
      <w:tr>
        <w:trPr>
          <w:trHeight w:val="281" w:hRule="atLeast"/>
        </w:trPr>
        <w:tc>
          <w:tcPr>
            <w:tcW w:w="3126" w:type="dxa"/>
            <w:tcBorders/>
            <w:vAlign w:val="center"/>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20"/>
                <w:szCs w:val="20"/>
              </w:rPr>
              <w:t>Главный</w:t>
            </w:r>
          </w:p>
        </w:tc>
        <w:tc>
          <w:tcPr>
            <w:tcW w:w="3127" w:type="dxa"/>
            <w:tcBorders/>
            <w:vAlign w:val="center"/>
          </w:tcPr>
          <w:p>
            <w:pPr>
              <w:pStyle w:val="Normal"/>
              <w:widowControl w:val="false"/>
              <w:ind w:left="0" w:right="0" w:hanging="0"/>
              <w:rPr>
                <w:sz w:val="24"/>
              </w:rPr>
            </w:pPr>
            <w:r>
              <w:rPr>
                <w:sz w:val="24"/>
              </w:rPr>
            </w:r>
          </w:p>
        </w:tc>
        <w:tc>
          <w:tcPr>
            <w:tcW w:w="3127" w:type="dxa"/>
            <w:tcBorders/>
            <w:vAlign w:val="bottom"/>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4"/>
                <w:szCs w:val="20"/>
                <w:u w:val="single"/>
              </w:rPr>
              <w:t>____________________</w:t>
            </w:r>
          </w:p>
        </w:tc>
      </w:tr>
      <w:tr>
        <w:trPr>
          <w:trHeight w:val="281" w:hRule="atLeast"/>
        </w:trPr>
        <w:tc>
          <w:tcPr>
            <w:tcW w:w="3126" w:type="dxa"/>
            <w:tcBorders/>
            <w:vAlign w:val="center"/>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20"/>
                <w:szCs w:val="20"/>
              </w:rPr>
              <w:t>бухгалтер</w:t>
            </w:r>
          </w:p>
        </w:tc>
        <w:tc>
          <w:tcPr>
            <w:tcW w:w="3127" w:type="dxa"/>
            <w:tcBorders/>
            <w:vAlign w:val="center"/>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0"/>
                <w:szCs w:val="20"/>
              </w:rPr>
              <w:t>(подпись)</w:t>
            </w:r>
          </w:p>
        </w:tc>
        <w:tc>
          <w:tcPr>
            <w:tcW w:w="3127" w:type="dxa"/>
            <w:tcBorders/>
            <w:vAlign w:val="center"/>
          </w:tcPr>
          <w:p>
            <w:pPr>
              <w:pStyle w:val="Normal"/>
              <w:widowControl w:val="false"/>
              <w:spacing w:before="0" w:after="0"/>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0"/>
                <w:szCs w:val="20"/>
              </w:rPr>
              <w:t>(расшифровка подписи)</w:t>
            </w:r>
          </w:p>
        </w:tc>
      </w:tr>
      <w:tr>
        <w:trPr>
          <w:trHeight w:val="449" w:hRule="atLeast"/>
        </w:trPr>
        <w:tc>
          <w:tcPr>
            <w:tcW w:w="3126" w:type="dxa"/>
            <w:tcBorders/>
            <w:vAlign w:val="center"/>
          </w:tcPr>
          <w:p>
            <w:pPr>
              <w:pStyle w:val="Normal"/>
              <w:widowControl w:val="false"/>
              <w:spacing w:before="0" w:after="0"/>
              <w:ind w:left="0" w:right="0" w:hanging="0"/>
              <w:rPr>
                <w:rFonts w:ascii="Times New Roman" w:hAnsi="Times New Roman" w:eastAsia="Times New Roman" w:cs="Times New Roman"/>
                <w:sz w:val="24"/>
              </w:rPr>
            </w:pPr>
            <w:r>
              <w:rPr>
                <w:rFonts w:eastAsia="Times New Roman" w:cs="Times New Roman" w:ascii="Times New Roman" w:hAnsi="Times New Roman"/>
                <w:sz w:val="20"/>
                <w:szCs w:val="20"/>
              </w:rPr>
              <w:t>"____"   ____________ 20____г.</w:t>
            </w:r>
          </w:p>
        </w:tc>
        <w:tc>
          <w:tcPr>
            <w:tcW w:w="3127" w:type="dxa"/>
            <w:tcBorders/>
            <w:vAlign w:val="center"/>
          </w:tcPr>
          <w:p>
            <w:pPr>
              <w:pStyle w:val="Normal"/>
              <w:widowControl w:val="false"/>
              <w:ind w:left="0" w:right="0" w:hanging="0"/>
              <w:rPr>
                <w:sz w:val="24"/>
              </w:rPr>
            </w:pPr>
            <w:r>
              <w:rPr>
                <w:sz w:val="24"/>
              </w:rPr>
            </w:r>
          </w:p>
        </w:tc>
        <w:tc>
          <w:tcPr>
            <w:tcW w:w="3127" w:type="dxa"/>
            <w:tcBorders/>
            <w:vAlign w:val="center"/>
          </w:tcPr>
          <w:p>
            <w:pPr>
              <w:pStyle w:val="Normal"/>
              <w:widowControl w:val="false"/>
              <w:ind w:left="0" w:right="0" w:hanging="0"/>
              <w:rPr>
                <w:sz w:val="24"/>
              </w:rPr>
            </w:pPr>
            <w:r>
              <w:rPr>
                <w:sz w:val="24"/>
              </w:rPr>
            </w:r>
          </w:p>
        </w:tc>
      </w:tr>
    </w:tbl>
    <w:p>
      <w:pPr>
        <w:pStyle w:val="Normal"/>
        <w:rPr/>
      </w:pPr>
      <w:r>
        <w:rPr>
          <w:rFonts w:eastAsia="Times New Roman" w:cs="Times New Roman" w:ascii="Times New Roman" w:hAnsi="Times New Roman"/>
          <w:sz w:val="24"/>
          <w:szCs w:val="24"/>
        </w:rPr>
        <w:t xml:space="preserve">Документ подписан электронной подписью. Дата представления </w:t>
      </w:r>
      <w:r>
        <w:rPr>
          <w:rFonts w:eastAsia="Times New Roman" w:cs="Times New Roman" w:ascii="Times New Roman" w:hAnsi="Times New Roman"/>
          <w:sz w:val="24"/>
          <w:szCs w:val="24"/>
        </w:rPr>
        <w:t>06</w:t>
      </w:r>
      <w:r>
        <w:rPr>
          <w:rFonts w:eastAsia="Times New Roman" w:cs="Times New Roman" w:ascii="Times New Roman" w:hAnsi="Times New Roman"/>
          <w:sz w:val="24"/>
          <w:szCs w:val="24"/>
        </w:rPr>
        <w:t>.02.2023</w:t>
        <w:br/>
        <w:t xml:space="preserve">Руководитель(Солодов Михаил Анатольевич, Сертификат: #00C45011E573E2EC290F1673CF934F8CD0, Действителен: с 12.04.2022 по 06.07.2023)        </w:t>
      </w:r>
    </w:p>
    <w:sectPr>
      <w:type w:val="nextPage"/>
      <w:pgSz w:orient="landscape" w:w="15840" w:h="12240"/>
      <w:pgMar w:left="1700" w:right="850" w:gutter="0" w:header="0" w:top="1133" w:footer="0" w:bottom="1133"/>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fill="auto"/>
      <w:suppressAutoHyphens w:val="false"/>
      <w:bidi w:val="0"/>
      <w:spacing w:lineRule="auto" w:line="240" w:beforeAutospacing="0" w:before="0" w:afterAutospacing="0" w:after="0"/>
      <w:ind w:left="0" w:right="0" w:hanging="0"/>
      <w:jc w:val="left"/>
    </w:pPr>
    <w:rPr>
      <w:rFonts w:ascii="Calibri" w:hAnsi="Calibri" w:eastAsia="" w:cs="" w:asciiTheme="minorHAnsi" w:cstheme="minorBidi" w:eastAsiaTheme="minorEastAsia" w:hAnsiTheme="minorHAnsi"/>
      <w:color w:val="auto"/>
      <w:kern w:val="0"/>
      <w:sz w:val="22"/>
      <w:szCs w:val="22"/>
      <w:lang w:val="ru-RU" w:eastAsia="zh-CN" w:bidi="hi-IN"/>
    </w:rPr>
  </w:style>
  <w:style w:type="character" w:styleId="DefaultParagraphFont" w:default="1">
    <w:name w:val="Default Paragraph Font"/>
    <w:semiHidden/>
    <w:qFormat/>
    <w:rPr/>
  </w:style>
  <w:style w:type="character" w:styleId="Style14">
    <w:name w:val="Line Number"/>
    <w:basedOn w:val="DefaultParagraphFont"/>
    <w:semiHidden/>
    <w:rPr/>
  </w:style>
  <w:style w:type="character" w:styleId="-">
    <w:name w:val="Hyperlink"/>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table" w:default="1" w:styleId="T0">
    <w:name w:val="Normal Table"/>
    <w:tblPr>
      <w:tblCellMar>
        <w:top w:w="0" w:type="dxa"/>
        <w:left w:w="108" w:type="dxa"/>
        <w:bottom w:w="0" w:type="dxa"/>
        <w:right w:w="108" w:type="dxa"/>
      </w:tblCellMar>
    </w:tblPr>
  </w:style>
  <w:style w:type="table" w:styleId="T1">
    <w:name w:val="Table Simple 1"/>
    <w:basedOn w:val="T0"/>
    <w:tblPr>
      <w:tblBorders>
        <w:top w:val="single" w:color="000000" w:sz="4" w:space="0" w:themeTint="0"/>
        <w:left w:val="single" w:color="000000" w:sz="4" w:space="0" w:themeTint="0"/>
        <w:bottom w:val="single" w:color="000000" w:sz="4" w:space="0" w:themeTint="0"/>
        <w:right w:val="single" w:color="000000" w:sz="4" w:space="0" w:themeTint="0"/>
        <w:insideH w:val="single" w:color="000000" w:sz="4" w:space="0" w:themeTint="0"/>
        <w:insideV w:val="single" w:color="000000" w:sz="4" w:space="0" w:themeTint="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24</Pages>
  <Words>7681</Words>
  <Characters>53599</Characters>
  <CharactersWithSpaces>61026</CharactersWithSpaces>
  <Paragraphs>539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2024-02-21T11:45:48Z</dcterms:created>
  <dc:creator>Светлана Александровна Бурлак</dc:creator>
  <dc:description/>
  <dc:language>ru-RU</dc:language>
  <cp:lastModifiedBy/>
  <dcterms:modified xsi:type="dcterms:W3CDTF">2024-02-21T14:46:44Z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